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65F" w:rsidRDefault="00206842" w:rsidP="00206842">
      <w:pPr>
        <w:pStyle w:val="Title"/>
      </w:pPr>
      <w:r>
        <w:t xml:space="preserve">FREP Sampling Design </w:t>
      </w:r>
      <w:r w:rsidR="00282F2B">
        <w:t>Report</w:t>
      </w:r>
    </w:p>
    <w:p w:rsidR="00DB2846" w:rsidRDefault="00387462" w:rsidP="00DB2846">
      <w:r w:rsidRPr="00234730">
        <w:rPr>
          <w:b/>
        </w:rPr>
        <w:t>Title</w:t>
      </w:r>
      <w:r>
        <w:t xml:space="preserve">: </w:t>
      </w:r>
      <w:r w:rsidR="00DB2846">
        <w:t>FREP Sampling Design: Recommendations for Improved Implementation</w:t>
      </w:r>
    </w:p>
    <w:p w:rsidR="00DB2846" w:rsidRDefault="00387462" w:rsidP="00DB2846">
      <w:r w:rsidRPr="00234730">
        <w:rPr>
          <w:b/>
        </w:rPr>
        <w:t>Authors</w:t>
      </w:r>
      <w:r>
        <w:t xml:space="preserve">: </w:t>
      </w:r>
      <w:r w:rsidR="00DB2846">
        <w:t xml:space="preserve">Darcy Pickard, Alex </w:t>
      </w:r>
      <w:r>
        <w:t xml:space="preserve">W. </w:t>
      </w:r>
      <w:r w:rsidR="00DB2846">
        <w:t>Hall, and Ruth Joy</w:t>
      </w:r>
    </w:p>
    <w:p w:rsidR="00DB2846" w:rsidRDefault="00DB2846" w:rsidP="00DB2846">
      <w:r w:rsidRPr="00234730">
        <w:rPr>
          <w:b/>
        </w:rPr>
        <w:t>Acknowledgments</w:t>
      </w:r>
      <w:r>
        <w:t>:</w:t>
      </w:r>
    </w:p>
    <w:p w:rsidR="000D3BCB" w:rsidRDefault="00DB2846" w:rsidP="00DB2846">
      <w:r>
        <w:t>The authors would like to thank the</w:t>
      </w:r>
      <w:r w:rsidR="000D3BCB">
        <w:t xml:space="preserve"> following people, who all contributed to the development of the present work:</w:t>
      </w:r>
    </w:p>
    <w:p w:rsidR="000D3BCB" w:rsidRDefault="000D3BCB" w:rsidP="000D3BCB">
      <w:pPr>
        <w:pStyle w:val="ListParagraph"/>
        <w:numPr>
          <w:ilvl w:val="0"/>
          <w:numId w:val="23"/>
        </w:numPr>
      </w:pPr>
      <w:r>
        <w:t xml:space="preserve">The </w:t>
      </w:r>
      <w:r w:rsidR="00DB2846">
        <w:t>FREP team, including Peter Bradford, Nancy Densmore, Frank Barber, Richard Thompson, and Wendy Bergerud for the</w:t>
      </w:r>
      <w:bookmarkStart w:id="0" w:name="_GoBack"/>
      <w:bookmarkEnd w:id="0"/>
      <w:r w:rsidR="00DB2846">
        <w:t>ir input and guidance throughout the project</w:t>
      </w:r>
      <w:r>
        <w:t>;</w:t>
      </w:r>
    </w:p>
    <w:p w:rsidR="000D3BCB" w:rsidRDefault="000D3BCB" w:rsidP="000D3BCB">
      <w:pPr>
        <w:pStyle w:val="ListParagraph"/>
        <w:numPr>
          <w:ilvl w:val="0"/>
          <w:numId w:val="23"/>
        </w:numPr>
      </w:pPr>
      <w:r>
        <w:t>The many anonymous participants in the initial survey on FREP user needs for their feedback;</w:t>
      </w:r>
    </w:p>
    <w:p w:rsidR="00DB2846" w:rsidRDefault="000D3BCB" w:rsidP="000D3BCB">
      <w:pPr>
        <w:pStyle w:val="ListParagraph"/>
        <w:numPr>
          <w:ilvl w:val="0"/>
          <w:numId w:val="23"/>
        </w:numPr>
      </w:pPr>
      <w:r>
        <w:t xml:space="preserve">The participants in the subsequent workshop, including </w:t>
      </w:r>
      <w:r w:rsidRPr="00DB2846">
        <w:t>Frank Barber</w:t>
      </w:r>
      <w:r>
        <w:t>,</w:t>
      </w:r>
      <w:r w:rsidRPr="00DB2846">
        <w:t xml:space="preserve"> Paul </w:t>
      </w:r>
      <w:proofErr w:type="spellStart"/>
      <w:r w:rsidRPr="00DB2846">
        <w:t>Barolet</w:t>
      </w:r>
      <w:proofErr w:type="spellEnd"/>
      <w:r>
        <w:t>,</w:t>
      </w:r>
      <w:r w:rsidRPr="00DB2846">
        <w:t xml:space="preserve"> Dan Bate</w:t>
      </w:r>
      <w:r>
        <w:t>,</w:t>
      </w:r>
      <w:r w:rsidRPr="00DB2846">
        <w:t xml:space="preserve"> Greg Belyea</w:t>
      </w:r>
      <w:r>
        <w:t>,</w:t>
      </w:r>
      <w:r w:rsidRPr="00DB2846">
        <w:t xml:space="preserve"> Wendy Bergerud</w:t>
      </w:r>
      <w:r>
        <w:t>,</w:t>
      </w:r>
      <w:r w:rsidRPr="00DB2846">
        <w:t xml:space="preserve"> Peter Bradford</w:t>
      </w:r>
      <w:r>
        <w:t>,</w:t>
      </w:r>
      <w:r w:rsidRPr="00DB2846">
        <w:t xml:space="preserve"> Bill Chapman</w:t>
      </w:r>
      <w:r>
        <w:t>,</w:t>
      </w:r>
      <w:r w:rsidRPr="00DB2846">
        <w:t xml:space="preserve"> Nancy Densmore</w:t>
      </w:r>
      <w:r>
        <w:t>,</w:t>
      </w:r>
      <w:r w:rsidRPr="00DB2846">
        <w:t xml:space="preserve"> Jessie Fanucchi</w:t>
      </w:r>
      <w:r>
        <w:t>,</w:t>
      </w:r>
      <w:r w:rsidRPr="00DB2846">
        <w:t xml:space="preserve"> Jon </w:t>
      </w:r>
      <w:proofErr w:type="spellStart"/>
      <w:r w:rsidRPr="00DB2846">
        <w:t>Flintoft</w:t>
      </w:r>
      <w:proofErr w:type="spellEnd"/>
      <w:r>
        <w:t>,</w:t>
      </w:r>
      <w:r w:rsidRPr="00DB2846">
        <w:t xml:space="preserve"> Kerri </w:t>
      </w:r>
      <w:proofErr w:type="spellStart"/>
      <w:r w:rsidRPr="00DB2846">
        <w:t>Howse</w:t>
      </w:r>
      <w:proofErr w:type="spellEnd"/>
      <w:r>
        <w:t>,</w:t>
      </w:r>
      <w:r w:rsidRPr="00DB2846">
        <w:t xml:space="preserve"> Elizabeth Hunt</w:t>
      </w:r>
      <w:r>
        <w:t>,</w:t>
      </w:r>
      <w:r w:rsidRPr="00DB2846">
        <w:t xml:space="preserve"> Zaid </w:t>
      </w:r>
      <w:proofErr w:type="spellStart"/>
      <w:r w:rsidRPr="00DB2846">
        <w:t>Jumean</w:t>
      </w:r>
      <w:proofErr w:type="spellEnd"/>
      <w:r>
        <w:t>,</w:t>
      </w:r>
      <w:r w:rsidRPr="00DB2846">
        <w:t xml:space="preserve"> Lyn </w:t>
      </w:r>
      <w:proofErr w:type="spellStart"/>
      <w:r w:rsidRPr="00DB2846">
        <w:t>Konowalyk</w:t>
      </w:r>
      <w:proofErr w:type="spellEnd"/>
      <w:r>
        <w:t>,</w:t>
      </w:r>
      <w:r w:rsidRPr="00DB2846">
        <w:t xml:space="preserve"> Dave Maloney</w:t>
      </w:r>
      <w:r>
        <w:t>,</w:t>
      </w:r>
      <w:r w:rsidRPr="00DB2846">
        <w:t xml:space="preserve"> Teresa Newsome</w:t>
      </w:r>
      <w:r>
        <w:t xml:space="preserve">, </w:t>
      </w:r>
      <w:r w:rsidRPr="00DB2846">
        <w:t>Kathy Paige</w:t>
      </w:r>
      <w:r>
        <w:t xml:space="preserve">, </w:t>
      </w:r>
      <w:r w:rsidRPr="00DB2846">
        <w:t>Carl Pollard</w:t>
      </w:r>
      <w:r>
        <w:t xml:space="preserve">, </w:t>
      </w:r>
      <w:r w:rsidRPr="00DB2846">
        <w:t>Martin Ponsioen</w:t>
      </w:r>
      <w:r>
        <w:t xml:space="preserve">, Lucy </w:t>
      </w:r>
      <w:proofErr w:type="spellStart"/>
      <w:r>
        <w:t>Stad</w:t>
      </w:r>
      <w:proofErr w:type="spellEnd"/>
      <w:r>
        <w:t xml:space="preserve">, </w:t>
      </w:r>
      <w:r w:rsidRPr="00DB2846">
        <w:t>Richard Thompson</w:t>
      </w:r>
      <w:r>
        <w:t>,</w:t>
      </w:r>
      <w:r w:rsidRPr="00DB2846">
        <w:t xml:space="preserve"> Derek Tripp</w:t>
      </w:r>
      <w:r>
        <w:t>,</w:t>
      </w:r>
      <w:r w:rsidRPr="00DB2846">
        <w:t xml:space="preserve"> Eric </w:t>
      </w:r>
      <w:proofErr w:type="spellStart"/>
      <w:r w:rsidRPr="00DB2846">
        <w:t>Valdal</w:t>
      </w:r>
      <w:proofErr w:type="spellEnd"/>
      <w:r>
        <w:t xml:space="preserve">, </w:t>
      </w:r>
      <w:r w:rsidRPr="00DB2846">
        <w:t xml:space="preserve"> Warren </w:t>
      </w:r>
      <w:proofErr w:type="spellStart"/>
      <w:r w:rsidRPr="00DB2846">
        <w:t>Warttig</w:t>
      </w:r>
      <w:proofErr w:type="spellEnd"/>
      <w:r>
        <w:t>,</w:t>
      </w:r>
      <w:r w:rsidRPr="00DB2846">
        <w:t xml:space="preserve"> </w:t>
      </w:r>
      <w:r>
        <w:t xml:space="preserve">Craig </w:t>
      </w:r>
      <w:proofErr w:type="spellStart"/>
      <w:r>
        <w:t>Wickland</w:t>
      </w:r>
      <w:proofErr w:type="spellEnd"/>
      <w:r>
        <w:t>, and Ken Zielke, for their insights and  engaged discussions</w:t>
      </w:r>
    </w:p>
    <w:p w:rsidR="00DB2846" w:rsidRDefault="00DB2846">
      <w:r>
        <w:br w:type="page"/>
      </w:r>
    </w:p>
    <w:sdt>
      <w:sdtPr>
        <w:rPr>
          <w:rFonts w:asciiTheme="minorHAnsi" w:eastAsiaTheme="minorHAnsi" w:hAnsiTheme="minorHAnsi" w:cstheme="minorBidi"/>
          <w:b w:val="0"/>
          <w:bCs w:val="0"/>
          <w:color w:val="auto"/>
          <w:sz w:val="22"/>
          <w:szCs w:val="22"/>
          <w:u w:val="none"/>
        </w:rPr>
        <w:id w:val="1885296328"/>
        <w:docPartObj>
          <w:docPartGallery w:val="Table of Contents"/>
          <w:docPartUnique/>
        </w:docPartObj>
      </w:sdtPr>
      <w:sdtEndPr>
        <w:rPr>
          <w:rFonts w:eastAsiaTheme="minorEastAsia"/>
          <w:noProof/>
        </w:rPr>
      </w:sdtEndPr>
      <w:sdtContent>
        <w:p w:rsidR="00413099" w:rsidRDefault="00413099" w:rsidP="0031312F">
          <w:pPr>
            <w:pStyle w:val="TOCHeading"/>
            <w:spacing w:before="0"/>
          </w:pPr>
          <w:r>
            <w:t>Table of Contents</w:t>
          </w:r>
        </w:p>
        <w:p w:rsidR="009D13B3" w:rsidRPr="009C30EE" w:rsidRDefault="00495B9B" w:rsidP="009D13B3">
          <w:pPr>
            <w:pStyle w:val="TOC1"/>
            <w:rPr>
              <w:b w:val="0"/>
            </w:rPr>
          </w:pPr>
          <w:r w:rsidRPr="009C30EE">
            <w:rPr>
              <w:noProof w:val="0"/>
            </w:rPr>
            <w:fldChar w:fldCharType="begin"/>
          </w:r>
          <w:r w:rsidR="00413099" w:rsidRPr="009C30EE">
            <w:instrText xml:space="preserve"> TOC \o "1-3" \h \z \u </w:instrText>
          </w:r>
          <w:r w:rsidRPr="009C30EE">
            <w:rPr>
              <w:noProof w:val="0"/>
            </w:rPr>
            <w:fldChar w:fldCharType="separate"/>
          </w:r>
          <w:hyperlink w:anchor="_Toc442204960" w:history="1">
            <w:r w:rsidR="009D13B3" w:rsidRPr="009C30EE">
              <w:rPr>
                <w:rStyle w:val="Hyperlink"/>
                <w:color w:val="auto"/>
              </w:rPr>
              <w:t>A.</w:t>
            </w:r>
            <w:r w:rsidR="009D13B3" w:rsidRPr="009C30EE">
              <w:rPr>
                <w:b w:val="0"/>
              </w:rPr>
              <w:tab/>
            </w:r>
            <w:r w:rsidR="009D13B3" w:rsidRPr="009C30EE">
              <w:rPr>
                <w:rStyle w:val="Hyperlink"/>
                <w:color w:val="auto"/>
              </w:rPr>
              <w:t>INTRODUCTION</w:t>
            </w:r>
            <w:r w:rsidR="009D13B3" w:rsidRPr="009C30EE">
              <w:rPr>
                <w:webHidden/>
              </w:rPr>
              <w:tab/>
            </w:r>
            <w:r w:rsidRPr="009C30EE">
              <w:rPr>
                <w:webHidden/>
              </w:rPr>
              <w:fldChar w:fldCharType="begin"/>
            </w:r>
            <w:r w:rsidR="009D13B3" w:rsidRPr="009C30EE">
              <w:rPr>
                <w:webHidden/>
              </w:rPr>
              <w:instrText xml:space="preserve"> PAGEREF _Toc442204960 \h </w:instrText>
            </w:r>
            <w:r w:rsidRPr="009C30EE">
              <w:rPr>
                <w:webHidden/>
              </w:rPr>
            </w:r>
            <w:r w:rsidRPr="009C30EE">
              <w:rPr>
                <w:webHidden/>
              </w:rPr>
              <w:fldChar w:fldCharType="separate"/>
            </w:r>
            <w:r w:rsidR="00234730">
              <w:rPr>
                <w:webHidden/>
              </w:rPr>
              <w:t>3</w:t>
            </w:r>
            <w:r w:rsidRPr="009C30EE">
              <w:rPr>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61" w:history="1">
            <w:r w:rsidR="009D13B3" w:rsidRPr="009C30EE">
              <w:rPr>
                <w:rStyle w:val="Hyperlink"/>
                <w:noProof/>
                <w:color w:val="auto"/>
              </w:rPr>
              <w:t>A.1</w:t>
            </w:r>
            <w:r w:rsidR="009D13B3" w:rsidRPr="009C30EE">
              <w:rPr>
                <w:noProof/>
              </w:rPr>
              <w:tab/>
            </w:r>
            <w:r w:rsidR="009D13B3" w:rsidRPr="009C30EE">
              <w:rPr>
                <w:rStyle w:val="Hyperlink"/>
                <w:noProof/>
                <w:color w:val="auto"/>
              </w:rPr>
              <w:t>Context</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_Toc442204961 \h </w:instrText>
            </w:r>
            <w:r w:rsidR="00495B9B" w:rsidRPr="009C30EE">
              <w:rPr>
                <w:noProof/>
                <w:webHidden/>
              </w:rPr>
            </w:r>
            <w:r w:rsidR="00495B9B" w:rsidRPr="009C30EE">
              <w:rPr>
                <w:noProof/>
                <w:webHidden/>
              </w:rPr>
              <w:fldChar w:fldCharType="separate"/>
            </w:r>
            <w:r w:rsidR="00234730">
              <w:rPr>
                <w:noProof/>
                <w:webHidden/>
              </w:rPr>
              <w:t>3</w:t>
            </w:r>
            <w:r w:rsidR="00495B9B" w:rsidRPr="009C30EE">
              <w:rPr>
                <w:noProof/>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62" w:history="1">
            <w:r w:rsidR="009D13B3" w:rsidRPr="009C30EE">
              <w:rPr>
                <w:rStyle w:val="Hyperlink"/>
                <w:noProof/>
                <w:color w:val="auto"/>
              </w:rPr>
              <w:t>A.2</w:t>
            </w:r>
            <w:r w:rsidR="009D13B3" w:rsidRPr="009C30EE">
              <w:rPr>
                <w:noProof/>
              </w:rPr>
              <w:tab/>
            </w:r>
            <w:r w:rsidR="009D13B3" w:rsidRPr="009C30EE">
              <w:rPr>
                <w:rStyle w:val="Hyperlink"/>
                <w:noProof/>
                <w:color w:val="auto"/>
              </w:rPr>
              <w:t>Previous Work</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_Toc442204962 \h </w:instrText>
            </w:r>
            <w:r w:rsidR="00495B9B" w:rsidRPr="009C30EE">
              <w:rPr>
                <w:noProof/>
                <w:webHidden/>
              </w:rPr>
            </w:r>
            <w:r w:rsidR="00495B9B" w:rsidRPr="009C30EE">
              <w:rPr>
                <w:noProof/>
                <w:webHidden/>
              </w:rPr>
              <w:fldChar w:fldCharType="separate"/>
            </w:r>
            <w:r w:rsidR="00234730">
              <w:rPr>
                <w:noProof/>
                <w:webHidden/>
              </w:rPr>
              <w:t>3</w:t>
            </w:r>
            <w:r w:rsidR="00495B9B" w:rsidRPr="009C30EE">
              <w:rPr>
                <w:noProof/>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63" w:history="1">
            <w:r w:rsidR="009D13B3" w:rsidRPr="009C30EE">
              <w:rPr>
                <w:rStyle w:val="Hyperlink"/>
                <w:noProof/>
                <w:color w:val="auto"/>
              </w:rPr>
              <w:t>A.3</w:t>
            </w:r>
            <w:r w:rsidR="009D13B3" w:rsidRPr="009C30EE">
              <w:rPr>
                <w:noProof/>
              </w:rPr>
              <w:tab/>
            </w:r>
            <w:r w:rsidR="009D13B3" w:rsidRPr="009C30EE">
              <w:rPr>
                <w:rStyle w:val="Hyperlink"/>
                <w:noProof/>
                <w:color w:val="auto"/>
              </w:rPr>
              <w:t>Guiding Principles</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_Toc442204963 \h </w:instrText>
            </w:r>
            <w:r w:rsidR="00495B9B" w:rsidRPr="009C30EE">
              <w:rPr>
                <w:noProof/>
                <w:webHidden/>
              </w:rPr>
            </w:r>
            <w:r w:rsidR="00495B9B" w:rsidRPr="009C30EE">
              <w:rPr>
                <w:noProof/>
                <w:webHidden/>
              </w:rPr>
              <w:fldChar w:fldCharType="separate"/>
            </w:r>
            <w:r w:rsidR="00234730">
              <w:rPr>
                <w:noProof/>
                <w:webHidden/>
              </w:rPr>
              <w:t>3</w:t>
            </w:r>
            <w:r w:rsidR="00495B9B" w:rsidRPr="009C30EE">
              <w:rPr>
                <w:noProof/>
                <w:webHidden/>
              </w:rPr>
              <w:fldChar w:fldCharType="end"/>
            </w:r>
          </w:hyperlink>
        </w:p>
        <w:p w:rsidR="009D13B3" w:rsidRPr="009C30EE" w:rsidRDefault="003A0F1A" w:rsidP="009D13B3">
          <w:pPr>
            <w:pStyle w:val="TOC1"/>
            <w:rPr>
              <w:b w:val="0"/>
            </w:rPr>
          </w:pPr>
          <w:hyperlink w:anchor="_Toc442204964" w:history="1">
            <w:r w:rsidR="009D13B3" w:rsidRPr="009C30EE">
              <w:rPr>
                <w:rStyle w:val="Hyperlink"/>
                <w:color w:val="auto"/>
              </w:rPr>
              <w:t>B.</w:t>
            </w:r>
            <w:r w:rsidR="009D13B3" w:rsidRPr="009C30EE">
              <w:rPr>
                <w:b w:val="0"/>
              </w:rPr>
              <w:tab/>
            </w:r>
            <w:r w:rsidR="009D13B3" w:rsidRPr="009C30EE">
              <w:rPr>
                <w:rStyle w:val="Hyperlink"/>
                <w:color w:val="auto"/>
              </w:rPr>
              <w:t>RECOMMENDED APPROACH</w:t>
            </w:r>
            <w:r w:rsidR="009D13B3" w:rsidRPr="009C30EE">
              <w:rPr>
                <w:webHidden/>
              </w:rPr>
              <w:tab/>
            </w:r>
            <w:r w:rsidR="00495B9B" w:rsidRPr="009C30EE">
              <w:rPr>
                <w:webHidden/>
              </w:rPr>
              <w:fldChar w:fldCharType="begin"/>
            </w:r>
            <w:r w:rsidR="009D13B3" w:rsidRPr="009C30EE">
              <w:rPr>
                <w:webHidden/>
              </w:rPr>
              <w:instrText xml:space="preserve"> PAGEREF _Toc442204964 \h </w:instrText>
            </w:r>
            <w:r w:rsidR="00495B9B" w:rsidRPr="009C30EE">
              <w:rPr>
                <w:webHidden/>
              </w:rPr>
            </w:r>
            <w:r w:rsidR="00495B9B" w:rsidRPr="009C30EE">
              <w:rPr>
                <w:webHidden/>
              </w:rPr>
              <w:fldChar w:fldCharType="separate"/>
            </w:r>
            <w:r w:rsidR="00234730">
              <w:rPr>
                <w:webHidden/>
              </w:rPr>
              <w:t>5</w:t>
            </w:r>
            <w:r w:rsidR="00495B9B" w:rsidRPr="009C30EE">
              <w:rPr>
                <w:webHidden/>
              </w:rPr>
              <w:fldChar w:fldCharType="end"/>
            </w:r>
          </w:hyperlink>
        </w:p>
        <w:p w:rsidR="009D13B3" w:rsidRPr="009C30EE" w:rsidRDefault="003A0F1A" w:rsidP="009D13B3">
          <w:pPr>
            <w:pStyle w:val="TOC1"/>
            <w:rPr>
              <w:b w:val="0"/>
            </w:rPr>
          </w:pPr>
          <w:hyperlink w:anchor="_Toc442204965" w:history="1">
            <w:r w:rsidR="009D13B3" w:rsidRPr="009C30EE">
              <w:rPr>
                <w:rStyle w:val="Hyperlink"/>
                <w:color w:val="auto"/>
              </w:rPr>
              <w:t>Component I: Getting more benefit from the existing data</w:t>
            </w:r>
            <w:r w:rsidR="009D13B3" w:rsidRPr="009C30EE">
              <w:rPr>
                <w:webHidden/>
              </w:rPr>
              <w:tab/>
            </w:r>
            <w:r w:rsidR="00495B9B" w:rsidRPr="009C30EE">
              <w:rPr>
                <w:webHidden/>
              </w:rPr>
              <w:fldChar w:fldCharType="begin"/>
            </w:r>
            <w:r w:rsidR="009D13B3" w:rsidRPr="009C30EE">
              <w:rPr>
                <w:webHidden/>
              </w:rPr>
              <w:instrText xml:space="preserve"> PAGEREF _Toc442204965 \h </w:instrText>
            </w:r>
            <w:r w:rsidR="00495B9B" w:rsidRPr="009C30EE">
              <w:rPr>
                <w:webHidden/>
              </w:rPr>
            </w:r>
            <w:r w:rsidR="00495B9B" w:rsidRPr="009C30EE">
              <w:rPr>
                <w:webHidden/>
              </w:rPr>
              <w:fldChar w:fldCharType="separate"/>
            </w:r>
            <w:r w:rsidR="00234730">
              <w:rPr>
                <w:webHidden/>
              </w:rPr>
              <w:t>7</w:t>
            </w:r>
            <w:r w:rsidR="00495B9B" w:rsidRPr="009C30EE">
              <w:rPr>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66" w:history="1">
            <w:r w:rsidR="009D13B3" w:rsidRPr="009C30EE">
              <w:rPr>
                <w:rStyle w:val="Hyperlink"/>
                <w:noProof/>
                <w:color w:val="auto"/>
              </w:rPr>
              <w:t>B.1</w:t>
            </w:r>
            <w:r w:rsidR="009D13B3" w:rsidRPr="009C30EE">
              <w:rPr>
                <w:noProof/>
              </w:rPr>
              <w:tab/>
            </w:r>
            <w:r w:rsidR="009D13B3" w:rsidRPr="009C30EE">
              <w:rPr>
                <w:rStyle w:val="Hyperlink"/>
                <w:noProof/>
                <w:color w:val="auto"/>
              </w:rPr>
              <w:t>Further Use and/or Exploration of the Existing Data</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_Toc442204966 \h </w:instrText>
            </w:r>
            <w:r w:rsidR="00495B9B" w:rsidRPr="009C30EE">
              <w:rPr>
                <w:noProof/>
                <w:webHidden/>
              </w:rPr>
            </w:r>
            <w:r w:rsidR="00495B9B" w:rsidRPr="009C30EE">
              <w:rPr>
                <w:noProof/>
                <w:webHidden/>
              </w:rPr>
              <w:fldChar w:fldCharType="separate"/>
            </w:r>
            <w:r w:rsidR="00234730">
              <w:rPr>
                <w:noProof/>
                <w:webHidden/>
              </w:rPr>
              <w:t>7</w:t>
            </w:r>
            <w:r w:rsidR="00495B9B" w:rsidRPr="009C30EE">
              <w:rPr>
                <w:noProof/>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67" w:history="1">
            <w:r w:rsidR="009D13B3" w:rsidRPr="009C30EE">
              <w:rPr>
                <w:rStyle w:val="Hyperlink"/>
                <w:noProof/>
                <w:color w:val="auto"/>
              </w:rPr>
              <w:t>B.2</w:t>
            </w:r>
            <w:r w:rsidR="009D13B3" w:rsidRPr="009C30EE">
              <w:rPr>
                <w:noProof/>
              </w:rPr>
              <w:tab/>
            </w:r>
            <w:r w:rsidR="009D13B3" w:rsidRPr="009C30EE">
              <w:rPr>
                <w:rStyle w:val="Hyperlink"/>
                <w:noProof/>
                <w:color w:val="auto"/>
              </w:rPr>
              <w:t>Information at Low Sample Sizes</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_Toc442204967 \h </w:instrText>
            </w:r>
            <w:r w:rsidR="00495B9B" w:rsidRPr="009C30EE">
              <w:rPr>
                <w:noProof/>
                <w:webHidden/>
              </w:rPr>
            </w:r>
            <w:r w:rsidR="00495B9B" w:rsidRPr="009C30EE">
              <w:rPr>
                <w:noProof/>
                <w:webHidden/>
              </w:rPr>
              <w:fldChar w:fldCharType="separate"/>
            </w:r>
            <w:r w:rsidR="00234730">
              <w:rPr>
                <w:noProof/>
                <w:webHidden/>
              </w:rPr>
              <w:t>11</w:t>
            </w:r>
            <w:r w:rsidR="00495B9B" w:rsidRPr="009C30EE">
              <w:rPr>
                <w:noProof/>
                <w:webHidden/>
              </w:rPr>
              <w:fldChar w:fldCharType="end"/>
            </w:r>
          </w:hyperlink>
        </w:p>
        <w:p w:rsidR="009D13B3" w:rsidRPr="009C30EE" w:rsidRDefault="003A0F1A" w:rsidP="009D13B3">
          <w:pPr>
            <w:pStyle w:val="TOC1"/>
            <w:rPr>
              <w:b w:val="0"/>
            </w:rPr>
          </w:pPr>
          <w:hyperlink w:anchor="_Toc442204968" w:history="1">
            <w:r w:rsidR="009D13B3" w:rsidRPr="009C30EE">
              <w:rPr>
                <w:rStyle w:val="Hyperlink"/>
                <w:color w:val="auto"/>
              </w:rPr>
              <w:t>Component II: Allocation of annual samples to core FREP design</w:t>
            </w:r>
            <w:r w:rsidR="009D13B3" w:rsidRPr="009C30EE">
              <w:rPr>
                <w:webHidden/>
              </w:rPr>
              <w:tab/>
            </w:r>
            <w:r w:rsidR="00495B9B" w:rsidRPr="009C30EE">
              <w:rPr>
                <w:webHidden/>
              </w:rPr>
              <w:fldChar w:fldCharType="begin"/>
            </w:r>
            <w:r w:rsidR="009D13B3" w:rsidRPr="009C30EE">
              <w:rPr>
                <w:webHidden/>
              </w:rPr>
              <w:instrText xml:space="preserve"> PAGEREF _Toc442204968 \h </w:instrText>
            </w:r>
            <w:r w:rsidR="00495B9B" w:rsidRPr="009C30EE">
              <w:rPr>
                <w:webHidden/>
              </w:rPr>
            </w:r>
            <w:r w:rsidR="00495B9B" w:rsidRPr="009C30EE">
              <w:rPr>
                <w:webHidden/>
              </w:rPr>
              <w:fldChar w:fldCharType="separate"/>
            </w:r>
            <w:r w:rsidR="00234730">
              <w:rPr>
                <w:webHidden/>
              </w:rPr>
              <w:t>18</w:t>
            </w:r>
            <w:r w:rsidR="00495B9B" w:rsidRPr="009C30EE">
              <w:rPr>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69" w:history="1">
            <w:r w:rsidR="009D13B3" w:rsidRPr="009C30EE">
              <w:rPr>
                <w:rStyle w:val="Hyperlink"/>
                <w:noProof/>
                <w:color w:val="auto"/>
              </w:rPr>
              <w:t>B.3</w:t>
            </w:r>
            <w:r w:rsidR="009D13B3" w:rsidRPr="009C30EE">
              <w:rPr>
                <w:noProof/>
              </w:rPr>
              <w:tab/>
            </w:r>
            <w:r w:rsidR="009D13B3" w:rsidRPr="009C30EE">
              <w:rPr>
                <w:rStyle w:val="Hyperlink"/>
                <w:noProof/>
                <w:color w:val="auto"/>
              </w:rPr>
              <w:t>Summary of Approach</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_Toc442204969 \h </w:instrText>
            </w:r>
            <w:r w:rsidR="00495B9B" w:rsidRPr="009C30EE">
              <w:rPr>
                <w:noProof/>
                <w:webHidden/>
              </w:rPr>
            </w:r>
            <w:r w:rsidR="00495B9B" w:rsidRPr="009C30EE">
              <w:rPr>
                <w:noProof/>
                <w:webHidden/>
              </w:rPr>
              <w:fldChar w:fldCharType="separate"/>
            </w:r>
            <w:r w:rsidR="00234730">
              <w:rPr>
                <w:noProof/>
                <w:webHidden/>
              </w:rPr>
              <w:t>18</w:t>
            </w:r>
            <w:r w:rsidR="00495B9B" w:rsidRPr="009C30EE">
              <w:rPr>
                <w:noProof/>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70" w:history="1">
            <w:r w:rsidR="009D13B3" w:rsidRPr="009C30EE">
              <w:rPr>
                <w:rStyle w:val="Hyperlink"/>
                <w:noProof/>
                <w:color w:val="auto"/>
              </w:rPr>
              <w:t>B.4</w:t>
            </w:r>
            <w:r w:rsidR="009D13B3" w:rsidRPr="009C30EE">
              <w:rPr>
                <w:noProof/>
              </w:rPr>
              <w:tab/>
            </w:r>
            <w:r w:rsidR="009D13B3" w:rsidRPr="009C30EE">
              <w:rPr>
                <w:rStyle w:val="Hyperlink"/>
                <w:noProof/>
                <w:color w:val="auto"/>
              </w:rPr>
              <w:t>Rationale</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_Toc442204970 \h </w:instrText>
            </w:r>
            <w:r w:rsidR="00495B9B" w:rsidRPr="009C30EE">
              <w:rPr>
                <w:noProof/>
                <w:webHidden/>
              </w:rPr>
            </w:r>
            <w:r w:rsidR="00495B9B" w:rsidRPr="009C30EE">
              <w:rPr>
                <w:noProof/>
                <w:webHidden/>
              </w:rPr>
              <w:fldChar w:fldCharType="separate"/>
            </w:r>
            <w:r w:rsidR="00234730">
              <w:rPr>
                <w:noProof/>
                <w:webHidden/>
              </w:rPr>
              <w:t>18</w:t>
            </w:r>
            <w:r w:rsidR="00495B9B" w:rsidRPr="009C30EE">
              <w:rPr>
                <w:noProof/>
                <w:webHidden/>
              </w:rPr>
              <w:fldChar w:fldCharType="end"/>
            </w:r>
          </w:hyperlink>
        </w:p>
        <w:p w:rsidR="009D13B3" w:rsidRPr="009C30EE" w:rsidRDefault="003A0F1A" w:rsidP="009D13B3">
          <w:pPr>
            <w:pStyle w:val="TOC3"/>
            <w:tabs>
              <w:tab w:val="left" w:pos="1320"/>
              <w:tab w:val="right" w:leader="dot" w:pos="9350"/>
            </w:tabs>
            <w:spacing w:after="0"/>
            <w:rPr>
              <w:noProof/>
            </w:rPr>
          </w:pPr>
          <w:hyperlink w:anchor="_Toc442204971" w:history="1">
            <w:r w:rsidR="009D13B3" w:rsidRPr="009C30EE">
              <w:rPr>
                <w:rStyle w:val="Hyperlink"/>
                <w:noProof/>
                <w:color w:val="auto"/>
              </w:rPr>
              <w:t>B.4.1</w:t>
            </w:r>
            <w:r w:rsidR="009D13B3" w:rsidRPr="009C30EE">
              <w:rPr>
                <w:noProof/>
              </w:rPr>
              <w:tab/>
            </w:r>
            <w:r w:rsidR="009D13B3" w:rsidRPr="009C30EE">
              <w:rPr>
                <w:rStyle w:val="Hyperlink"/>
                <w:noProof/>
                <w:color w:val="auto"/>
              </w:rPr>
              <w:t>Rationale for overall approach</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_Toc442204971 \h </w:instrText>
            </w:r>
            <w:r w:rsidR="00495B9B" w:rsidRPr="009C30EE">
              <w:rPr>
                <w:noProof/>
                <w:webHidden/>
              </w:rPr>
            </w:r>
            <w:r w:rsidR="00495B9B" w:rsidRPr="009C30EE">
              <w:rPr>
                <w:noProof/>
                <w:webHidden/>
              </w:rPr>
              <w:fldChar w:fldCharType="separate"/>
            </w:r>
            <w:r w:rsidR="00234730">
              <w:rPr>
                <w:noProof/>
                <w:webHidden/>
              </w:rPr>
              <w:t>18</w:t>
            </w:r>
            <w:r w:rsidR="00495B9B" w:rsidRPr="009C30EE">
              <w:rPr>
                <w:noProof/>
                <w:webHidden/>
              </w:rPr>
              <w:fldChar w:fldCharType="end"/>
            </w:r>
          </w:hyperlink>
        </w:p>
        <w:p w:rsidR="009D13B3" w:rsidRPr="009C30EE" w:rsidRDefault="003A0F1A" w:rsidP="009D13B3">
          <w:pPr>
            <w:pStyle w:val="TOC3"/>
            <w:tabs>
              <w:tab w:val="left" w:pos="1320"/>
              <w:tab w:val="right" w:leader="dot" w:pos="9350"/>
            </w:tabs>
            <w:spacing w:after="0"/>
            <w:rPr>
              <w:noProof/>
            </w:rPr>
          </w:pPr>
          <w:hyperlink w:anchor="_Toc442204972" w:history="1">
            <w:r w:rsidR="009D13B3" w:rsidRPr="009C30EE">
              <w:rPr>
                <w:rStyle w:val="Hyperlink"/>
                <w:noProof/>
                <w:color w:val="auto"/>
              </w:rPr>
              <w:t>B.4.2</w:t>
            </w:r>
            <w:r w:rsidR="009D13B3" w:rsidRPr="009C30EE">
              <w:rPr>
                <w:noProof/>
              </w:rPr>
              <w:tab/>
            </w:r>
            <w:r w:rsidR="009D13B3" w:rsidRPr="009C30EE">
              <w:rPr>
                <w:rStyle w:val="Hyperlink"/>
                <w:noProof/>
                <w:color w:val="auto"/>
              </w:rPr>
              <w:t>Rationale for specific elements of design</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_Toc442204972 \h </w:instrText>
            </w:r>
            <w:r w:rsidR="00495B9B" w:rsidRPr="009C30EE">
              <w:rPr>
                <w:noProof/>
                <w:webHidden/>
              </w:rPr>
            </w:r>
            <w:r w:rsidR="00495B9B" w:rsidRPr="009C30EE">
              <w:rPr>
                <w:noProof/>
                <w:webHidden/>
              </w:rPr>
              <w:fldChar w:fldCharType="separate"/>
            </w:r>
            <w:r w:rsidR="00234730">
              <w:rPr>
                <w:noProof/>
                <w:webHidden/>
              </w:rPr>
              <w:t>20</w:t>
            </w:r>
            <w:r w:rsidR="00495B9B" w:rsidRPr="009C30EE">
              <w:rPr>
                <w:noProof/>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73" w:history="1">
            <w:r w:rsidR="009D13B3" w:rsidRPr="009C30EE">
              <w:rPr>
                <w:rStyle w:val="Hyperlink"/>
                <w:noProof/>
                <w:color w:val="auto"/>
              </w:rPr>
              <w:t>B.5</w:t>
            </w:r>
            <w:r w:rsidR="009D13B3" w:rsidRPr="009C30EE">
              <w:rPr>
                <w:noProof/>
              </w:rPr>
              <w:tab/>
            </w:r>
            <w:r w:rsidR="009D13B3" w:rsidRPr="009C30EE">
              <w:rPr>
                <w:rStyle w:val="Hyperlink"/>
                <w:noProof/>
                <w:color w:val="auto"/>
              </w:rPr>
              <w:t>Implementation</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_Toc442204973 \h </w:instrText>
            </w:r>
            <w:r w:rsidR="00495B9B" w:rsidRPr="009C30EE">
              <w:rPr>
                <w:noProof/>
                <w:webHidden/>
              </w:rPr>
            </w:r>
            <w:r w:rsidR="00495B9B" w:rsidRPr="009C30EE">
              <w:rPr>
                <w:noProof/>
                <w:webHidden/>
              </w:rPr>
              <w:fldChar w:fldCharType="separate"/>
            </w:r>
            <w:r w:rsidR="00234730">
              <w:rPr>
                <w:noProof/>
                <w:webHidden/>
              </w:rPr>
              <w:t>23</w:t>
            </w:r>
            <w:r w:rsidR="00495B9B" w:rsidRPr="009C30EE">
              <w:rPr>
                <w:noProof/>
                <w:webHidden/>
              </w:rPr>
              <w:fldChar w:fldCharType="end"/>
            </w:r>
          </w:hyperlink>
        </w:p>
        <w:p w:rsidR="009D13B3" w:rsidRPr="009C30EE" w:rsidRDefault="003A0F1A" w:rsidP="009D13B3">
          <w:pPr>
            <w:pStyle w:val="TOC1"/>
            <w:rPr>
              <w:b w:val="0"/>
            </w:rPr>
          </w:pPr>
          <w:hyperlink w:anchor="_Toc442204974" w:history="1">
            <w:r w:rsidR="009D13B3" w:rsidRPr="009C30EE">
              <w:rPr>
                <w:rStyle w:val="Hyperlink"/>
                <w:color w:val="auto"/>
              </w:rPr>
              <w:t>Component III: Allocation of annual samples for district-level priorities</w:t>
            </w:r>
            <w:r w:rsidR="009D13B3" w:rsidRPr="009C30EE">
              <w:rPr>
                <w:webHidden/>
              </w:rPr>
              <w:tab/>
            </w:r>
            <w:r w:rsidR="00495B9B" w:rsidRPr="009C30EE">
              <w:rPr>
                <w:webHidden/>
              </w:rPr>
              <w:fldChar w:fldCharType="begin"/>
            </w:r>
            <w:r w:rsidR="009D13B3" w:rsidRPr="009C30EE">
              <w:rPr>
                <w:webHidden/>
              </w:rPr>
              <w:instrText xml:space="preserve"> PAGEREF _Toc442204974 \h </w:instrText>
            </w:r>
            <w:r w:rsidR="00495B9B" w:rsidRPr="009C30EE">
              <w:rPr>
                <w:webHidden/>
              </w:rPr>
            </w:r>
            <w:r w:rsidR="00495B9B" w:rsidRPr="009C30EE">
              <w:rPr>
                <w:webHidden/>
              </w:rPr>
              <w:fldChar w:fldCharType="separate"/>
            </w:r>
            <w:r w:rsidR="00234730">
              <w:rPr>
                <w:webHidden/>
              </w:rPr>
              <w:t>25</w:t>
            </w:r>
            <w:r w:rsidR="00495B9B" w:rsidRPr="009C30EE">
              <w:rPr>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75" w:history="1">
            <w:r w:rsidR="009D13B3" w:rsidRPr="009C30EE">
              <w:rPr>
                <w:rStyle w:val="Hyperlink"/>
                <w:noProof/>
                <w:color w:val="auto"/>
              </w:rPr>
              <w:t>B.6</w:t>
            </w:r>
            <w:r w:rsidR="009D13B3" w:rsidRPr="009C30EE">
              <w:rPr>
                <w:noProof/>
              </w:rPr>
              <w:tab/>
            </w:r>
            <w:r w:rsidR="009D13B3" w:rsidRPr="009C30EE">
              <w:rPr>
                <w:rStyle w:val="Hyperlink"/>
                <w:noProof/>
                <w:color w:val="auto"/>
              </w:rPr>
              <w:t>Summary of Approach</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_Toc442204975 \h </w:instrText>
            </w:r>
            <w:r w:rsidR="00495B9B" w:rsidRPr="009C30EE">
              <w:rPr>
                <w:noProof/>
                <w:webHidden/>
              </w:rPr>
            </w:r>
            <w:r w:rsidR="00495B9B" w:rsidRPr="009C30EE">
              <w:rPr>
                <w:noProof/>
                <w:webHidden/>
              </w:rPr>
              <w:fldChar w:fldCharType="separate"/>
            </w:r>
            <w:r w:rsidR="00234730">
              <w:rPr>
                <w:noProof/>
                <w:webHidden/>
              </w:rPr>
              <w:t>25</w:t>
            </w:r>
            <w:r w:rsidR="00495B9B" w:rsidRPr="009C30EE">
              <w:rPr>
                <w:noProof/>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76" w:history="1">
            <w:r w:rsidR="009D13B3" w:rsidRPr="009C30EE">
              <w:rPr>
                <w:rStyle w:val="Hyperlink"/>
                <w:noProof/>
                <w:color w:val="auto"/>
              </w:rPr>
              <w:t>B.7</w:t>
            </w:r>
            <w:r w:rsidR="009D13B3" w:rsidRPr="009C30EE">
              <w:rPr>
                <w:noProof/>
              </w:rPr>
              <w:tab/>
            </w:r>
            <w:r w:rsidR="009D13B3" w:rsidRPr="009C30EE">
              <w:rPr>
                <w:rStyle w:val="Hyperlink"/>
                <w:noProof/>
                <w:color w:val="auto"/>
              </w:rPr>
              <w:t>Rationale</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_Toc442204976 \h </w:instrText>
            </w:r>
            <w:r w:rsidR="00495B9B" w:rsidRPr="009C30EE">
              <w:rPr>
                <w:noProof/>
                <w:webHidden/>
              </w:rPr>
            </w:r>
            <w:r w:rsidR="00495B9B" w:rsidRPr="009C30EE">
              <w:rPr>
                <w:noProof/>
                <w:webHidden/>
              </w:rPr>
              <w:fldChar w:fldCharType="separate"/>
            </w:r>
            <w:r w:rsidR="00234730">
              <w:rPr>
                <w:noProof/>
                <w:webHidden/>
              </w:rPr>
              <w:t>25</w:t>
            </w:r>
            <w:r w:rsidR="00495B9B" w:rsidRPr="009C30EE">
              <w:rPr>
                <w:noProof/>
                <w:webHidden/>
              </w:rPr>
              <w:fldChar w:fldCharType="end"/>
            </w:r>
          </w:hyperlink>
        </w:p>
        <w:p w:rsidR="009D13B3" w:rsidRPr="009C30EE" w:rsidRDefault="003A0F1A" w:rsidP="009D13B3">
          <w:pPr>
            <w:pStyle w:val="TOC2"/>
            <w:tabs>
              <w:tab w:val="left" w:pos="880"/>
              <w:tab w:val="right" w:leader="dot" w:pos="9350"/>
            </w:tabs>
            <w:spacing w:after="0"/>
            <w:rPr>
              <w:noProof/>
            </w:rPr>
          </w:pPr>
          <w:hyperlink w:anchor="_Toc442204977" w:history="1">
            <w:r w:rsidR="009D13B3" w:rsidRPr="009C30EE">
              <w:rPr>
                <w:rStyle w:val="Hyperlink"/>
                <w:noProof/>
                <w:color w:val="auto"/>
              </w:rPr>
              <w:t>B.8</w:t>
            </w:r>
            <w:r w:rsidR="009D13B3" w:rsidRPr="009C30EE">
              <w:rPr>
                <w:noProof/>
              </w:rPr>
              <w:tab/>
            </w:r>
            <w:r w:rsidR="009D13B3" w:rsidRPr="009C30EE">
              <w:rPr>
                <w:rStyle w:val="Hyperlink"/>
                <w:noProof/>
                <w:color w:val="auto"/>
              </w:rPr>
              <w:t>General Guidance on Implementation of Priority Sampling</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_Toc442204977 \h </w:instrText>
            </w:r>
            <w:r w:rsidR="00495B9B" w:rsidRPr="009C30EE">
              <w:rPr>
                <w:noProof/>
                <w:webHidden/>
              </w:rPr>
            </w:r>
            <w:r w:rsidR="00495B9B" w:rsidRPr="009C30EE">
              <w:rPr>
                <w:noProof/>
                <w:webHidden/>
              </w:rPr>
              <w:fldChar w:fldCharType="separate"/>
            </w:r>
            <w:r w:rsidR="00234730">
              <w:rPr>
                <w:noProof/>
                <w:webHidden/>
              </w:rPr>
              <w:t>25</w:t>
            </w:r>
            <w:r w:rsidR="00495B9B" w:rsidRPr="009C30EE">
              <w:rPr>
                <w:noProof/>
                <w:webHidden/>
              </w:rPr>
              <w:fldChar w:fldCharType="end"/>
            </w:r>
          </w:hyperlink>
        </w:p>
        <w:p w:rsidR="009D13B3" w:rsidRPr="009C30EE" w:rsidRDefault="003A0F1A" w:rsidP="009D13B3">
          <w:pPr>
            <w:pStyle w:val="TOC3"/>
            <w:tabs>
              <w:tab w:val="left" w:pos="1320"/>
              <w:tab w:val="right" w:leader="dot" w:pos="9350"/>
            </w:tabs>
            <w:spacing w:after="0"/>
            <w:rPr>
              <w:noProof/>
            </w:rPr>
          </w:pPr>
          <w:hyperlink w:anchor="_Toc442204978" w:history="1">
            <w:r w:rsidR="009D13B3" w:rsidRPr="009C30EE">
              <w:rPr>
                <w:rStyle w:val="Hyperlink"/>
                <w:noProof/>
                <w:color w:val="auto"/>
              </w:rPr>
              <w:t>B.8.1</w:t>
            </w:r>
            <w:r w:rsidR="009D13B3" w:rsidRPr="009C30EE">
              <w:rPr>
                <w:noProof/>
              </w:rPr>
              <w:tab/>
            </w:r>
            <w:r w:rsidR="009D13B3" w:rsidRPr="009C30EE">
              <w:rPr>
                <w:rStyle w:val="Hyperlink"/>
                <w:noProof/>
                <w:color w:val="auto"/>
              </w:rPr>
              <w:t>Obtaining context-specific statistical advice</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_Toc442204978 \h </w:instrText>
            </w:r>
            <w:r w:rsidR="00495B9B" w:rsidRPr="009C30EE">
              <w:rPr>
                <w:noProof/>
                <w:webHidden/>
              </w:rPr>
            </w:r>
            <w:r w:rsidR="00495B9B" w:rsidRPr="009C30EE">
              <w:rPr>
                <w:noProof/>
                <w:webHidden/>
              </w:rPr>
              <w:fldChar w:fldCharType="separate"/>
            </w:r>
            <w:r w:rsidR="00234730">
              <w:rPr>
                <w:noProof/>
                <w:webHidden/>
              </w:rPr>
              <w:t>27</w:t>
            </w:r>
            <w:r w:rsidR="00495B9B" w:rsidRPr="009C30EE">
              <w:rPr>
                <w:noProof/>
                <w:webHidden/>
              </w:rPr>
              <w:fldChar w:fldCharType="end"/>
            </w:r>
          </w:hyperlink>
        </w:p>
        <w:p w:rsidR="009D13B3" w:rsidRPr="009C30EE" w:rsidRDefault="003A0F1A" w:rsidP="009D13B3">
          <w:pPr>
            <w:pStyle w:val="TOC1"/>
            <w:rPr>
              <w:rStyle w:val="Hyperlink"/>
              <w:color w:val="auto"/>
            </w:rPr>
          </w:pPr>
          <w:hyperlink w:anchor="_Toc442204979" w:history="1">
            <w:r w:rsidR="009D13B3" w:rsidRPr="009C30EE">
              <w:rPr>
                <w:rStyle w:val="Hyperlink"/>
                <w:color w:val="auto"/>
              </w:rPr>
              <w:t>C.</w:t>
            </w:r>
            <w:r w:rsidR="009D13B3" w:rsidRPr="009C30EE">
              <w:rPr>
                <w:b w:val="0"/>
              </w:rPr>
              <w:tab/>
            </w:r>
            <w:r w:rsidR="009D13B3" w:rsidRPr="009C30EE">
              <w:rPr>
                <w:rStyle w:val="Hyperlink"/>
                <w:color w:val="auto"/>
              </w:rPr>
              <w:t>OTHER DESIGN OPTIONS CONSIDERED</w:t>
            </w:r>
            <w:r w:rsidR="009D13B3" w:rsidRPr="009C30EE">
              <w:rPr>
                <w:webHidden/>
              </w:rPr>
              <w:tab/>
            </w:r>
            <w:r w:rsidR="00495B9B" w:rsidRPr="009C30EE">
              <w:rPr>
                <w:webHidden/>
              </w:rPr>
              <w:fldChar w:fldCharType="begin"/>
            </w:r>
            <w:r w:rsidR="009D13B3" w:rsidRPr="009C30EE">
              <w:rPr>
                <w:webHidden/>
              </w:rPr>
              <w:instrText xml:space="preserve"> PAGEREF _Toc442204979 \h </w:instrText>
            </w:r>
            <w:r w:rsidR="00495B9B" w:rsidRPr="009C30EE">
              <w:rPr>
                <w:webHidden/>
              </w:rPr>
            </w:r>
            <w:r w:rsidR="00495B9B" w:rsidRPr="009C30EE">
              <w:rPr>
                <w:webHidden/>
              </w:rPr>
              <w:fldChar w:fldCharType="separate"/>
            </w:r>
            <w:r w:rsidR="00234730">
              <w:rPr>
                <w:webHidden/>
              </w:rPr>
              <w:t>29</w:t>
            </w:r>
            <w:r w:rsidR="00495B9B" w:rsidRPr="009C30EE">
              <w:rPr>
                <w:webHidden/>
              </w:rPr>
              <w:fldChar w:fldCharType="end"/>
            </w:r>
          </w:hyperlink>
        </w:p>
        <w:p w:rsidR="009D13B3" w:rsidRPr="009C30EE" w:rsidRDefault="009D13B3" w:rsidP="009D13B3">
          <w:pPr>
            <w:rPr>
              <w:noProof/>
            </w:rPr>
          </w:pPr>
        </w:p>
        <w:p w:rsidR="009D13B3" w:rsidRPr="009C30EE" w:rsidRDefault="003A0F1A" w:rsidP="009D13B3">
          <w:pPr>
            <w:pStyle w:val="TOC1"/>
            <w:rPr>
              <w:b w:val="0"/>
            </w:rPr>
          </w:pPr>
          <w:hyperlink w:anchor="_Toc442204980" w:history="1">
            <w:r w:rsidR="009D13B3" w:rsidRPr="009C30EE">
              <w:rPr>
                <w:rStyle w:val="Hyperlink"/>
                <w:color w:val="auto"/>
              </w:rPr>
              <w:t>APPENDICES</w:t>
            </w:r>
            <w:r w:rsidR="009D13B3" w:rsidRPr="009C30EE">
              <w:rPr>
                <w:webHidden/>
              </w:rPr>
              <w:tab/>
            </w:r>
            <w:r w:rsidR="00495B9B" w:rsidRPr="009C30EE">
              <w:rPr>
                <w:webHidden/>
              </w:rPr>
              <w:fldChar w:fldCharType="begin"/>
            </w:r>
            <w:r w:rsidR="009D13B3" w:rsidRPr="009C30EE">
              <w:rPr>
                <w:webHidden/>
              </w:rPr>
              <w:instrText xml:space="preserve"> PAGEREF _Toc442204980 \h </w:instrText>
            </w:r>
            <w:r w:rsidR="00495B9B" w:rsidRPr="009C30EE">
              <w:rPr>
                <w:webHidden/>
              </w:rPr>
            </w:r>
            <w:r w:rsidR="00495B9B" w:rsidRPr="009C30EE">
              <w:rPr>
                <w:webHidden/>
              </w:rPr>
              <w:fldChar w:fldCharType="separate"/>
            </w:r>
            <w:r w:rsidR="00234730">
              <w:rPr>
                <w:webHidden/>
              </w:rPr>
              <w:t>35</w:t>
            </w:r>
            <w:r w:rsidR="00495B9B" w:rsidRPr="009C30EE">
              <w:rPr>
                <w:webHidden/>
              </w:rPr>
              <w:fldChar w:fldCharType="end"/>
            </w:r>
          </w:hyperlink>
        </w:p>
        <w:p w:rsidR="009D13B3" w:rsidRPr="009C30EE" w:rsidRDefault="003A0F1A" w:rsidP="009D13B3">
          <w:pPr>
            <w:pStyle w:val="TOC2"/>
            <w:tabs>
              <w:tab w:val="right" w:leader="dot" w:pos="9350"/>
            </w:tabs>
            <w:spacing w:after="0"/>
            <w:rPr>
              <w:noProof/>
            </w:rPr>
          </w:pPr>
          <w:hyperlink w:anchor="_Toc442204981" w:history="1">
            <w:r w:rsidR="009D13B3" w:rsidRPr="009C30EE">
              <w:rPr>
                <w:rStyle w:val="Hyperlink"/>
                <w:noProof/>
                <w:color w:val="auto"/>
              </w:rPr>
              <w:t>Appendix 1: The FREP Sampling Design</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_Toc442204981 \h </w:instrText>
            </w:r>
            <w:r w:rsidR="00495B9B" w:rsidRPr="009C30EE">
              <w:rPr>
                <w:noProof/>
                <w:webHidden/>
              </w:rPr>
            </w:r>
            <w:r w:rsidR="00495B9B" w:rsidRPr="009C30EE">
              <w:rPr>
                <w:noProof/>
                <w:webHidden/>
              </w:rPr>
              <w:fldChar w:fldCharType="separate"/>
            </w:r>
            <w:r w:rsidR="00234730">
              <w:rPr>
                <w:noProof/>
                <w:webHidden/>
              </w:rPr>
              <w:t>35</w:t>
            </w:r>
            <w:r w:rsidR="00495B9B" w:rsidRPr="009C30EE">
              <w:rPr>
                <w:noProof/>
                <w:webHidden/>
              </w:rPr>
              <w:fldChar w:fldCharType="end"/>
            </w:r>
          </w:hyperlink>
        </w:p>
        <w:p w:rsidR="009D13B3" w:rsidRPr="009C30EE" w:rsidRDefault="003A0F1A" w:rsidP="009D13B3">
          <w:pPr>
            <w:pStyle w:val="TOC2"/>
            <w:tabs>
              <w:tab w:val="right" w:leader="dot" w:pos="9350"/>
            </w:tabs>
            <w:spacing w:after="0"/>
            <w:rPr>
              <w:noProof/>
            </w:rPr>
          </w:pPr>
          <w:hyperlink w:anchor="_Toc442204982" w:history="1">
            <w:r w:rsidR="009D13B3" w:rsidRPr="009C30EE">
              <w:rPr>
                <w:rStyle w:val="Hyperlink"/>
                <w:noProof/>
                <w:color w:val="auto"/>
              </w:rPr>
              <w:t>Appendix 2: Other Large-scale, Multi-value Monitoring Programs</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_Toc442204982 \h </w:instrText>
            </w:r>
            <w:r w:rsidR="00495B9B" w:rsidRPr="009C30EE">
              <w:rPr>
                <w:noProof/>
                <w:webHidden/>
              </w:rPr>
            </w:r>
            <w:r w:rsidR="00495B9B" w:rsidRPr="009C30EE">
              <w:rPr>
                <w:noProof/>
                <w:webHidden/>
              </w:rPr>
              <w:fldChar w:fldCharType="separate"/>
            </w:r>
            <w:r w:rsidR="00234730">
              <w:rPr>
                <w:noProof/>
                <w:webHidden/>
              </w:rPr>
              <w:t>36</w:t>
            </w:r>
            <w:r w:rsidR="00495B9B" w:rsidRPr="009C30EE">
              <w:rPr>
                <w:noProof/>
                <w:webHidden/>
              </w:rPr>
              <w:fldChar w:fldCharType="end"/>
            </w:r>
          </w:hyperlink>
        </w:p>
        <w:p w:rsidR="009D13B3" w:rsidRPr="009C30EE" w:rsidRDefault="003A0F1A" w:rsidP="009D13B3">
          <w:pPr>
            <w:pStyle w:val="TOC2"/>
            <w:tabs>
              <w:tab w:val="right" w:leader="dot" w:pos="9350"/>
            </w:tabs>
            <w:spacing w:after="0"/>
            <w:rPr>
              <w:noProof/>
            </w:rPr>
          </w:pPr>
          <w:hyperlink w:anchor="_Toc442204983" w:history="1">
            <w:r w:rsidR="009D13B3" w:rsidRPr="009C30EE">
              <w:rPr>
                <w:rStyle w:val="Hyperlink"/>
                <w:noProof/>
                <w:color w:val="auto"/>
              </w:rPr>
              <w:t>Appendix 3: Examples of the Allocation of Annual Samples</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_Toc442204983 \h </w:instrText>
            </w:r>
            <w:r w:rsidR="00495B9B" w:rsidRPr="009C30EE">
              <w:rPr>
                <w:noProof/>
                <w:webHidden/>
              </w:rPr>
            </w:r>
            <w:r w:rsidR="00495B9B" w:rsidRPr="009C30EE">
              <w:rPr>
                <w:noProof/>
                <w:webHidden/>
              </w:rPr>
              <w:fldChar w:fldCharType="separate"/>
            </w:r>
            <w:r w:rsidR="00234730">
              <w:rPr>
                <w:noProof/>
                <w:webHidden/>
              </w:rPr>
              <w:t>38</w:t>
            </w:r>
            <w:r w:rsidR="00495B9B" w:rsidRPr="009C30EE">
              <w:rPr>
                <w:noProof/>
                <w:webHidden/>
              </w:rPr>
              <w:fldChar w:fldCharType="end"/>
            </w:r>
          </w:hyperlink>
        </w:p>
        <w:p w:rsidR="009D13B3" w:rsidRPr="009C30EE" w:rsidRDefault="003A0F1A" w:rsidP="009D13B3">
          <w:pPr>
            <w:pStyle w:val="TOC3"/>
            <w:tabs>
              <w:tab w:val="right" w:leader="dot" w:pos="9350"/>
            </w:tabs>
            <w:spacing w:after="0"/>
            <w:rPr>
              <w:noProof/>
            </w:rPr>
          </w:pPr>
          <w:hyperlink w:anchor="_Toc442204984" w:history="1">
            <w:r w:rsidR="009D13B3" w:rsidRPr="009C30EE">
              <w:rPr>
                <w:rStyle w:val="Hyperlink"/>
                <w:noProof/>
                <w:color w:val="auto"/>
              </w:rPr>
              <w:t>Districts with high versus low recent sampling</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_Toc442204984 \h </w:instrText>
            </w:r>
            <w:r w:rsidR="00495B9B" w:rsidRPr="009C30EE">
              <w:rPr>
                <w:noProof/>
                <w:webHidden/>
              </w:rPr>
            </w:r>
            <w:r w:rsidR="00495B9B" w:rsidRPr="009C30EE">
              <w:rPr>
                <w:noProof/>
                <w:webHidden/>
              </w:rPr>
              <w:fldChar w:fldCharType="separate"/>
            </w:r>
            <w:r w:rsidR="00234730">
              <w:rPr>
                <w:noProof/>
                <w:webHidden/>
              </w:rPr>
              <w:t>40</w:t>
            </w:r>
            <w:r w:rsidR="00495B9B" w:rsidRPr="009C30EE">
              <w:rPr>
                <w:noProof/>
                <w:webHidden/>
              </w:rPr>
              <w:fldChar w:fldCharType="end"/>
            </w:r>
          </w:hyperlink>
        </w:p>
        <w:p w:rsidR="009D13B3" w:rsidRPr="009C30EE" w:rsidRDefault="003A0F1A" w:rsidP="009D13B3">
          <w:pPr>
            <w:pStyle w:val="TOC3"/>
            <w:tabs>
              <w:tab w:val="right" w:leader="dot" w:pos="9350"/>
            </w:tabs>
            <w:spacing w:after="0"/>
            <w:rPr>
              <w:noProof/>
            </w:rPr>
          </w:pPr>
          <w:hyperlink w:anchor="_Toc442204985" w:history="1">
            <w:r w:rsidR="009D13B3" w:rsidRPr="009C30EE">
              <w:rPr>
                <w:rStyle w:val="Hyperlink"/>
                <w:noProof/>
                <w:color w:val="auto"/>
              </w:rPr>
              <w:t>Alternate allocations of sampling effort for a single district</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_Toc442204985 \h </w:instrText>
            </w:r>
            <w:r w:rsidR="00495B9B" w:rsidRPr="009C30EE">
              <w:rPr>
                <w:noProof/>
                <w:webHidden/>
              </w:rPr>
            </w:r>
            <w:r w:rsidR="00495B9B" w:rsidRPr="009C30EE">
              <w:rPr>
                <w:noProof/>
                <w:webHidden/>
              </w:rPr>
              <w:fldChar w:fldCharType="separate"/>
            </w:r>
            <w:r w:rsidR="00234730">
              <w:rPr>
                <w:noProof/>
                <w:webHidden/>
              </w:rPr>
              <w:t>41</w:t>
            </w:r>
            <w:r w:rsidR="00495B9B" w:rsidRPr="009C30EE">
              <w:rPr>
                <w:noProof/>
                <w:webHidden/>
              </w:rPr>
              <w:fldChar w:fldCharType="end"/>
            </w:r>
          </w:hyperlink>
        </w:p>
        <w:p w:rsidR="009D13B3" w:rsidRPr="009C30EE" w:rsidRDefault="003A0F1A" w:rsidP="009D13B3">
          <w:pPr>
            <w:pStyle w:val="TOC3"/>
            <w:tabs>
              <w:tab w:val="right" w:leader="dot" w:pos="9350"/>
            </w:tabs>
            <w:spacing w:after="0"/>
            <w:rPr>
              <w:noProof/>
            </w:rPr>
          </w:pPr>
          <w:hyperlink w:anchor="_Toc442204986" w:history="1">
            <w:r w:rsidR="009D13B3" w:rsidRPr="009C30EE">
              <w:rPr>
                <w:rStyle w:val="Hyperlink"/>
                <w:noProof/>
                <w:color w:val="auto"/>
              </w:rPr>
              <w:t>Example of reactive planning for the allocation of samples</w:t>
            </w:r>
            <w:r w:rsidR="009D13B3" w:rsidRPr="009C30EE">
              <w:rPr>
                <w:noProof/>
                <w:webHidden/>
              </w:rPr>
              <w:tab/>
            </w:r>
            <w:r w:rsidR="00495B9B" w:rsidRPr="009C30EE">
              <w:rPr>
                <w:noProof/>
                <w:webHidden/>
              </w:rPr>
              <w:fldChar w:fldCharType="begin"/>
            </w:r>
            <w:r w:rsidR="009D13B3" w:rsidRPr="009C30EE">
              <w:rPr>
                <w:noProof/>
                <w:webHidden/>
              </w:rPr>
              <w:instrText xml:space="preserve"> PAGEREF _Toc442204986 \h </w:instrText>
            </w:r>
            <w:r w:rsidR="00495B9B" w:rsidRPr="009C30EE">
              <w:rPr>
                <w:noProof/>
                <w:webHidden/>
              </w:rPr>
            </w:r>
            <w:r w:rsidR="00495B9B" w:rsidRPr="009C30EE">
              <w:rPr>
                <w:noProof/>
                <w:webHidden/>
              </w:rPr>
              <w:fldChar w:fldCharType="separate"/>
            </w:r>
            <w:r w:rsidR="00234730">
              <w:rPr>
                <w:noProof/>
                <w:webHidden/>
              </w:rPr>
              <w:t>44</w:t>
            </w:r>
            <w:r w:rsidR="00495B9B" w:rsidRPr="009C30EE">
              <w:rPr>
                <w:noProof/>
                <w:webHidden/>
              </w:rPr>
              <w:fldChar w:fldCharType="end"/>
            </w:r>
          </w:hyperlink>
        </w:p>
        <w:p w:rsidR="00413099" w:rsidRPr="009C30EE" w:rsidRDefault="00495B9B" w:rsidP="009D13B3">
          <w:pPr>
            <w:spacing w:after="0"/>
          </w:pPr>
          <w:r w:rsidRPr="009C30EE">
            <w:rPr>
              <w:b/>
              <w:bCs/>
              <w:noProof/>
            </w:rPr>
            <w:fldChar w:fldCharType="end"/>
          </w:r>
        </w:p>
      </w:sdtContent>
    </w:sdt>
    <w:p w:rsidR="002A5D85" w:rsidRDefault="002A5D85">
      <w:r>
        <w:br w:type="page"/>
      </w:r>
    </w:p>
    <w:p w:rsidR="00390BC8" w:rsidRPr="00D1323F" w:rsidRDefault="0043299E" w:rsidP="00D1323F">
      <w:pPr>
        <w:pStyle w:val="Heading1"/>
      </w:pPr>
      <w:bookmarkStart w:id="1" w:name="_Toc442204960"/>
      <w:bookmarkStart w:id="2" w:name="_Ref443864800"/>
      <w:r w:rsidRPr="00D1323F">
        <w:lastRenderedPageBreak/>
        <w:t>INTRODUCTION</w:t>
      </w:r>
      <w:bookmarkEnd w:id="1"/>
      <w:bookmarkEnd w:id="2"/>
    </w:p>
    <w:p w:rsidR="00206842" w:rsidRDefault="00206842" w:rsidP="00D1323F">
      <w:pPr>
        <w:pStyle w:val="Heading2"/>
      </w:pPr>
      <w:bookmarkStart w:id="3" w:name="_Toc442204961"/>
      <w:r w:rsidRPr="004D503A">
        <w:t>Context</w:t>
      </w:r>
      <w:bookmarkEnd w:id="3"/>
    </w:p>
    <w:p w:rsidR="003479A2" w:rsidRPr="003479A2" w:rsidRDefault="003479A2" w:rsidP="003479A2">
      <w:r w:rsidRPr="003479A2">
        <w:t>The Forest and Range Evaluation Program (FREP) provides the resource stewardship monitoring component of the Forest and Range Practices Act’s (FRPA) legislative framework</w:t>
      </w:r>
      <w:r>
        <w:rPr>
          <w:rStyle w:val="FootnoteReference"/>
        </w:rPr>
        <w:footnoteReference w:id="1"/>
      </w:r>
      <w:r w:rsidRPr="003479A2">
        <w:t>. FREP has been in operation for a decade and now is an appropriate time for a “check in” to assess whether the established FREP sampling framework remains suitable or if changes are required to better meet current and future data needs.</w:t>
      </w:r>
      <w:r>
        <w:t xml:space="preserve"> </w:t>
      </w:r>
      <w:r w:rsidRPr="003479A2">
        <w:t xml:space="preserve">The </w:t>
      </w:r>
      <w:r w:rsidR="00CA396C">
        <w:t>initial</w:t>
      </w:r>
      <w:r>
        <w:t xml:space="preserve"> two steps, as described in Pickard and Hall (2015)</w:t>
      </w:r>
      <w:r w:rsidR="00CA396C">
        <w:t>,</w:t>
      </w:r>
      <w:r>
        <w:t xml:space="preserve"> were</w:t>
      </w:r>
      <w:r w:rsidRPr="003479A2">
        <w:t xml:space="preserve"> to </w:t>
      </w:r>
      <w:r w:rsidR="00CA396C">
        <w:t xml:space="preserve">first </w:t>
      </w:r>
      <w:r w:rsidRPr="003479A2">
        <w:t>understand the information needs of users, then to determine if there are potential changes to the FREP sampling methodology that should be considered to address those needs.</w:t>
      </w:r>
      <w:r>
        <w:t xml:space="preserve"> </w:t>
      </w:r>
      <w:r w:rsidR="00BF3A43">
        <w:t>Building upon that work, t</w:t>
      </w:r>
      <w:r>
        <w:t xml:space="preserve">he </w:t>
      </w:r>
      <w:r w:rsidR="00BF3A43">
        <w:t xml:space="preserve">third </w:t>
      </w:r>
      <w:r>
        <w:t>step</w:t>
      </w:r>
      <w:r w:rsidR="00BF3A43">
        <w:t xml:space="preserve">, as addressed in </w:t>
      </w:r>
      <w:r w:rsidR="008166B1">
        <w:t xml:space="preserve">this </w:t>
      </w:r>
      <w:r w:rsidR="00067452">
        <w:t>report</w:t>
      </w:r>
      <w:r w:rsidR="00BF3A43">
        <w:t xml:space="preserve">, </w:t>
      </w:r>
      <w:r>
        <w:t xml:space="preserve">has been </w:t>
      </w:r>
      <w:r w:rsidR="00BF3A43">
        <w:t xml:space="preserve">to develop </w:t>
      </w:r>
      <w:r>
        <w:t>recom</w:t>
      </w:r>
      <w:r w:rsidR="00BF3A43">
        <w:t>mendations to improve the design</w:t>
      </w:r>
      <w:r w:rsidR="00CA396C">
        <w:t xml:space="preserve"> and implementation where appropriate</w:t>
      </w:r>
      <w:r w:rsidR="00BF3A43">
        <w:t>.</w:t>
      </w:r>
    </w:p>
    <w:p w:rsidR="004C58D3" w:rsidRDefault="0047736D" w:rsidP="00D1323F">
      <w:pPr>
        <w:pStyle w:val="Heading2"/>
      </w:pPr>
      <w:bookmarkStart w:id="4" w:name="_Toc442204962"/>
      <w:r>
        <w:t xml:space="preserve">Previous </w:t>
      </w:r>
      <w:r w:rsidR="0031312F">
        <w:t>Work</w:t>
      </w:r>
      <w:bookmarkEnd w:id="4"/>
    </w:p>
    <w:p w:rsidR="00BF3A43" w:rsidRDefault="00BF3A43" w:rsidP="00BF3A43">
      <w:r>
        <w:t xml:space="preserve">The work </w:t>
      </w:r>
      <w:r w:rsidR="00067452">
        <w:t xml:space="preserve">presented here </w:t>
      </w:r>
      <w:r>
        <w:t xml:space="preserve">was informed by an initial survey and workshop held in </w:t>
      </w:r>
      <w:r w:rsidR="00CA396C">
        <w:t>January</w:t>
      </w:r>
      <w:r>
        <w:t xml:space="preserve"> 2015</w:t>
      </w:r>
      <w:r w:rsidR="00CA396C">
        <w:t>, as reported</w:t>
      </w:r>
      <w:r>
        <w:t xml:space="preserve"> by Pickard and Hall (2015). </w:t>
      </w:r>
      <w:r w:rsidR="00C24EBF">
        <w:t>A</w:t>
      </w:r>
      <w:r>
        <w:t xml:space="preserve"> survey </w:t>
      </w:r>
      <w:r w:rsidR="00C24EBF">
        <w:t xml:space="preserve">was distributed broadly within the FREP user community to </w:t>
      </w:r>
      <w:r>
        <w:t>solicit feedback on needs being met by the current sampling design, needs not being met and concerns regarding potential changes to the sampling design. The results wer</w:t>
      </w:r>
      <w:r w:rsidR="00C24EBF">
        <w:t xml:space="preserve">e classified by topics and themes. These results provided the basis for a 1.5-day workshop to explore user needs </w:t>
      </w:r>
      <w:r w:rsidR="00CA396C">
        <w:t xml:space="preserve">more deeply </w:t>
      </w:r>
      <w:r w:rsidR="00C24EBF">
        <w:t xml:space="preserve">with a focused group. The March 2015 report outlines the process, summarizes the breadth of technical and policy suggestions, and </w:t>
      </w:r>
      <w:r w:rsidR="00CA396C">
        <w:t xml:space="preserve">describes </w:t>
      </w:r>
      <w:r w:rsidR="00C24EBF">
        <w:t xml:space="preserve">some possible technical options </w:t>
      </w:r>
      <w:r w:rsidR="00CA396C">
        <w:t>identified for</w:t>
      </w:r>
      <w:r w:rsidR="00C24EBF">
        <w:t xml:space="preserve"> further consider</w:t>
      </w:r>
      <w:r w:rsidR="00CA396C">
        <w:t>ation</w:t>
      </w:r>
      <w:r w:rsidR="00C24EBF">
        <w:t>.</w:t>
      </w:r>
    </w:p>
    <w:p w:rsidR="00741A23" w:rsidRDefault="00C24EBF" w:rsidP="00092727">
      <w:pPr>
        <w:pStyle w:val="NoSpacing"/>
      </w:pPr>
      <w:r>
        <w:t>A few of the m</w:t>
      </w:r>
      <w:r w:rsidR="00A86B91">
        <w:t>ajor c</w:t>
      </w:r>
      <w:r w:rsidR="00741A23">
        <w:t xml:space="preserve">onclusions from </w:t>
      </w:r>
      <w:r>
        <w:t xml:space="preserve">this </w:t>
      </w:r>
      <w:r w:rsidR="00741A23">
        <w:t>background</w:t>
      </w:r>
      <w:r>
        <w:t xml:space="preserve"> work were:</w:t>
      </w:r>
    </w:p>
    <w:p w:rsidR="00741A23" w:rsidRPr="001B01B2" w:rsidRDefault="00C24EBF" w:rsidP="00CA396C">
      <w:pPr>
        <w:pStyle w:val="ListParagraph"/>
        <w:spacing w:after="60"/>
      </w:pPr>
      <w:r w:rsidRPr="001B01B2">
        <w:t>Even within the FREP community, there is often a lack of</w:t>
      </w:r>
      <w:r w:rsidR="00741A23" w:rsidRPr="001B01B2">
        <w:t xml:space="preserve"> understanding about what can be done with </w:t>
      </w:r>
      <w:r w:rsidRPr="001B01B2">
        <w:t>the existing</w:t>
      </w:r>
      <w:r w:rsidR="00741A23" w:rsidRPr="001B01B2">
        <w:t xml:space="preserve"> data</w:t>
      </w:r>
      <w:r w:rsidRPr="001B01B2">
        <w:t xml:space="preserve"> that is collected</w:t>
      </w:r>
      <w:r w:rsidR="00CA396C">
        <w:t>;</w:t>
      </w:r>
    </w:p>
    <w:p w:rsidR="00741A23" w:rsidRPr="001B01B2" w:rsidRDefault="00C24EBF" w:rsidP="00CA396C">
      <w:pPr>
        <w:pStyle w:val="ListParagraph"/>
        <w:spacing w:after="60"/>
      </w:pPr>
      <w:r w:rsidRPr="001B01B2">
        <w:t>The FREP program does n</w:t>
      </w:r>
      <w:r w:rsidR="00741A23" w:rsidRPr="001B01B2">
        <w:t xml:space="preserve">ot </w:t>
      </w:r>
      <w:r w:rsidRPr="001B01B2">
        <w:t xml:space="preserve">have </w:t>
      </w:r>
      <w:r w:rsidR="00741A23" w:rsidRPr="001B01B2">
        <w:t xml:space="preserve">a </w:t>
      </w:r>
      <w:r w:rsidRPr="001B01B2">
        <w:t>systematic</w:t>
      </w:r>
      <w:r w:rsidR="00741A23" w:rsidRPr="001B01B2">
        <w:t xml:space="preserve"> approach for allocating samples across values and across time</w:t>
      </w:r>
      <w:r w:rsidR="00CA396C">
        <w:t>;</w:t>
      </w:r>
    </w:p>
    <w:p w:rsidR="00741A23" w:rsidRPr="001B01B2" w:rsidRDefault="00C24EBF" w:rsidP="00CA396C">
      <w:pPr>
        <w:pStyle w:val="ListParagraph"/>
        <w:spacing w:after="60"/>
      </w:pPr>
      <w:r w:rsidRPr="001B01B2">
        <w:t>Users are commonly concerned with perceived</w:t>
      </w:r>
      <w:r w:rsidR="00741A23" w:rsidRPr="001B01B2">
        <w:t xml:space="preserve"> inefficiencies in </w:t>
      </w:r>
      <w:r w:rsidRPr="001B01B2">
        <w:t xml:space="preserve">the </w:t>
      </w:r>
      <w:r w:rsidR="00741A23" w:rsidRPr="001B01B2">
        <w:t>sampling approach</w:t>
      </w:r>
      <w:r w:rsidR="00CA396C">
        <w:t>;</w:t>
      </w:r>
    </w:p>
    <w:p w:rsidR="00741A23" w:rsidRPr="001B01B2" w:rsidRDefault="00C24EBF" w:rsidP="00CA396C">
      <w:pPr>
        <w:pStyle w:val="ListParagraph"/>
        <w:spacing w:after="60"/>
      </w:pPr>
      <w:r w:rsidRPr="001B01B2">
        <w:t>Districts w</w:t>
      </w:r>
      <w:r w:rsidR="00741A23" w:rsidRPr="001B01B2">
        <w:t xml:space="preserve">ant to be able to address local priorities but do not have </w:t>
      </w:r>
      <w:r w:rsidR="009A59D0" w:rsidRPr="001B01B2">
        <w:t xml:space="preserve">an </w:t>
      </w:r>
      <w:r w:rsidR="00741A23" w:rsidRPr="001B01B2">
        <w:t>avenue for doing so</w:t>
      </w:r>
      <w:r w:rsidR="00CA396C">
        <w:t>.</w:t>
      </w:r>
    </w:p>
    <w:p w:rsidR="00482D9C" w:rsidRDefault="00ED5040" w:rsidP="00D1323F">
      <w:pPr>
        <w:pStyle w:val="Heading2"/>
      </w:pPr>
      <w:bookmarkStart w:id="5" w:name="_Toc442204963"/>
      <w:bookmarkStart w:id="6" w:name="_Ref443844043"/>
      <w:r>
        <w:t>Guiding Principles</w:t>
      </w:r>
      <w:bookmarkEnd w:id="5"/>
      <w:bookmarkEnd w:id="6"/>
    </w:p>
    <w:p w:rsidR="002E499A" w:rsidRPr="002E499A" w:rsidRDefault="005F2E2F" w:rsidP="00CA396C">
      <w:pPr>
        <w:pStyle w:val="NoSpacing"/>
      </w:pPr>
      <w:r>
        <w:t>Below is a set of guiding</w:t>
      </w:r>
      <w:r w:rsidR="002E499A">
        <w:t xml:space="preserve"> principles upon which </w:t>
      </w:r>
      <w:r>
        <w:t xml:space="preserve">the sampling design and any </w:t>
      </w:r>
      <w:r w:rsidR="002E499A">
        <w:t xml:space="preserve">new </w:t>
      </w:r>
      <w:r>
        <w:t>recommendations should be based:</w:t>
      </w:r>
    </w:p>
    <w:p w:rsidR="005F2E2F" w:rsidRPr="00E37AF2" w:rsidRDefault="005F2E2F" w:rsidP="00CA396C">
      <w:pPr>
        <w:pStyle w:val="ListParagraph"/>
        <w:numPr>
          <w:ilvl w:val="0"/>
          <w:numId w:val="3"/>
        </w:numPr>
        <w:spacing w:after="60"/>
      </w:pPr>
      <w:r w:rsidRPr="001B01B2">
        <w:rPr>
          <w:b/>
        </w:rPr>
        <w:t>Simplicity</w:t>
      </w:r>
      <w:r w:rsidRPr="00E37AF2">
        <w:t xml:space="preserve"> </w:t>
      </w:r>
      <w:r w:rsidR="00A53657" w:rsidRPr="00E37AF2">
        <w:t>– simple designs are easier to communicate, implement and maintain, and allow for a wide range of potential analyses</w:t>
      </w:r>
      <w:r w:rsidR="003479A2">
        <w:t xml:space="preserve"> on the resultant data</w:t>
      </w:r>
      <w:r w:rsidR="00A53657" w:rsidRPr="00E37AF2">
        <w:t>, whereas adding complexity can increase the chances of implementation errors and make subsequent analyses more complicated to perform</w:t>
      </w:r>
      <w:r w:rsidR="003479A2" w:rsidRPr="003479A2">
        <w:t xml:space="preserve"> </w:t>
      </w:r>
      <w:r w:rsidR="003479A2" w:rsidRPr="00E37AF2">
        <w:t>correct</w:t>
      </w:r>
      <w:r w:rsidR="003479A2">
        <w:t>ly</w:t>
      </w:r>
    </w:p>
    <w:p w:rsidR="005F2E2F" w:rsidRDefault="005F2E2F" w:rsidP="00CA396C">
      <w:pPr>
        <w:pStyle w:val="ListParagraph"/>
        <w:numPr>
          <w:ilvl w:val="0"/>
          <w:numId w:val="3"/>
        </w:numPr>
        <w:spacing w:after="60"/>
      </w:pPr>
      <w:r w:rsidRPr="001B01B2">
        <w:rPr>
          <w:b/>
        </w:rPr>
        <w:t>Statistically sound</w:t>
      </w:r>
      <w:r w:rsidRPr="00E37AF2">
        <w:t xml:space="preserve"> – </w:t>
      </w:r>
      <w:r w:rsidR="00F73262">
        <w:t xml:space="preserve">a probabilistic sampling </w:t>
      </w:r>
      <w:r w:rsidRPr="00E37AF2">
        <w:t xml:space="preserve">design should be </w:t>
      </w:r>
      <w:r w:rsidR="00F73262">
        <w:t xml:space="preserve">used </w:t>
      </w:r>
      <w:r w:rsidRPr="00E37AF2">
        <w:t xml:space="preserve">based on the </w:t>
      </w:r>
      <w:r>
        <w:t>principles of good sampling design</w:t>
      </w:r>
      <w:r w:rsidR="00F73262">
        <w:t xml:space="preserve"> (i.e., random and repeatable)</w:t>
      </w:r>
      <w:r w:rsidR="00D9376A">
        <w:t>,</w:t>
      </w:r>
      <w:r w:rsidR="00F73262">
        <w:t xml:space="preserve"> to</w:t>
      </w:r>
      <w:r w:rsidR="00D9376A">
        <w:t xml:space="preserve"> ensur</w:t>
      </w:r>
      <w:r w:rsidR="00F73262">
        <w:t>e</w:t>
      </w:r>
      <w:r w:rsidR="00D9376A">
        <w:t xml:space="preserve"> valid inference is possible</w:t>
      </w:r>
    </w:p>
    <w:p w:rsidR="00B055EA" w:rsidRDefault="005F2E2F" w:rsidP="00CA396C">
      <w:pPr>
        <w:pStyle w:val="ListParagraph"/>
        <w:numPr>
          <w:ilvl w:val="0"/>
          <w:numId w:val="3"/>
        </w:numPr>
        <w:spacing w:after="60"/>
      </w:pPr>
      <w:r w:rsidRPr="001B01B2">
        <w:rPr>
          <w:b/>
        </w:rPr>
        <w:t>F</w:t>
      </w:r>
      <w:r w:rsidR="00B055EA" w:rsidRPr="001B01B2">
        <w:rPr>
          <w:b/>
        </w:rPr>
        <w:t>lexibility</w:t>
      </w:r>
      <w:r>
        <w:t xml:space="preserve"> – The questions of interest may change over time and the design should provide flexibility to be able to address</w:t>
      </w:r>
      <w:r w:rsidR="00B055EA">
        <w:t xml:space="preserve"> new questions</w:t>
      </w:r>
      <w:r>
        <w:t xml:space="preserve"> and/or new analyses when they arise</w:t>
      </w:r>
    </w:p>
    <w:p w:rsidR="00B055EA" w:rsidRDefault="005F2E2F" w:rsidP="00CA396C">
      <w:pPr>
        <w:pStyle w:val="ListParagraph"/>
        <w:numPr>
          <w:ilvl w:val="0"/>
          <w:numId w:val="3"/>
        </w:numPr>
        <w:spacing w:after="60"/>
      </w:pPr>
      <w:r w:rsidRPr="001B01B2">
        <w:rPr>
          <w:b/>
        </w:rPr>
        <w:lastRenderedPageBreak/>
        <w:t>User needs</w:t>
      </w:r>
      <w:r>
        <w:t xml:space="preserve"> – the design should consider the needs of users and address them where possible</w:t>
      </w:r>
    </w:p>
    <w:p w:rsidR="007E3503" w:rsidRPr="00E37AF2" w:rsidRDefault="00A53657" w:rsidP="00CA396C">
      <w:pPr>
        <w:pStyle w:val="ListParagraph"/>
        <w:numPr>
          <w:ilvl w:val="0"/>
          <w:numId w:val="3"/>
        </w:numPr>
        <w:spacing w:after="60"/>
      </w:pPr>
      <w:r w:rsidRPr="001B01B2">
        <w:rPr>
          <w:b/>
        </w:rPr>
        <w:t>Feasibility</w:t>
      </w:r>
      <w:r w:rsidRPr="00E37AF2">
        <w:t xml:space="preserve"> – the scope and complexity of the design should consider</w:t>
      </w:r>
      <w:r w:rsidR="00E37AF2" w:rsidRPr="00E37AF2">
        <w:t xml:space="preserve"> </w:t>
      </w:r>
      <w:r w:rsidR="007E3503" w:rsidRPr="00E37AF2">
        <w:t>realistic</w:t>
      </w:r>
      <w:r w:rsidR="00E37AF2" w:rsidRPr="00E37AF2">
        <w:t xml:space="preserve"> constraints on </w:t>
      </w:r>
      <w:r w:rsidR="00CA396C">
        <w:t>implementation</w:t>
      </w:r>
    </w:p>
    <w:p w:rsidR="00282F2B" w:rsidRDefault="00282F2B">
      <w:r>
        <w:br w:type="page"/>
      </w:r>
    </w:p>
    <w:p w:rsidR="00A37EEE" w:rsidRDefault="009778F2" w:rsidP="00D1323F">
      <w:pPr>
        <w:pStyle w:val="Heading1"/>
      </w:pPr>
      <w:bookmarkStart w:id="7" w:name="_Toc442204964"/>
      <w:r>
        <w:lastRenderedPageBreak/>
        <w:t>RECOMMENDED APPROACH</w:t>
      </w:r>
      <w:bookmarkEnd w:id="7"/>
    </w:p>
    <w:p w:rsidR="00B553FD" w:rsidRDefault="00FE0CD3" w:rsidP="007E3503">
      <w:r>
        <w:t xml:space="preserve">Our recommendation is to maintain the </w:t>
      </w:r>
      <w:r w:rsidR="00B553FD">
        <w:t xml:space="preserve">original </w:t>
      </w:r>
      <w:r>
        <w:t xml:space="preserve">sample design of the FREP program </w:t>
      </w:r>
      <w:r w:rsidR="00E37AF2">
        <w:t>and</w:t>
      </w:r>
      <w:r>
        <w:t xml:space="preserve"> supplement it with </w:t>
      </w:r>
      <w:r w:rsidR="00B553FD">
        <w:t xml:space="preserve">guidance </w:t>
      </w:r>
      <w:r>
        <w:t xml:space="preserve">on how to allocate sampling effort </w:t>
      </w:r>
      <w:r w:rsidR="00B553FD">
        <w:t xml:space="preserve">among core FREP questions </w:t>
      </w:r>
      <w:r w:rsidR="00EB5538">
        <w:t xml:space="preserve">at the provincial scale </w:t>
      </w:r>
      <w:r w:rsidR="00B553FD">
        <w:t>and district specific questions</w:t>
      </w:r>
      <w:r w:rsidR="00A53657">
        <w:t xml:space="preserve">. </w:t>
      </w:r>
    </w:p>
    <w:p w:rsidR="009B28C8" w:rsidRDefault="00B553FD" w:rsidP="009C30EE">
      <w:r>
        <w:t xml:space="preserve">The recommendation to maintain the core design is based on several factors. </w:t>
      </w:r>
      <w:r w:rsidR="00A53657">
        <w:t xml:space="preserve">The existing design closely aligns with the </w:t>
      </w:r>
      <w:r w:rsidR="00EB5538">
        <w:t xml:space="preserve">guiding </w:t>
      </w:r>
      <w:r w:rsidR="00A53657">
        <w:t>principles</w:t>
      </w:r>
      <w:r w:rsidR="00EB5538">
        <w:t xml:space="preserve"> (</w:t>
      </w:r>
      <w:r w:rsidR="009C30EE">
        <w:t xml:space="preserve">Section </w:t>
      </w:r>
      <w:r w:rsidR="009C30EE">
        <w:fldChar w:fldCharType="begin"/>
      </w:r>
      <w:r w:rsidR="009C30EE">
        <w:instrText xml:space="preserve"> REF _Ref443844043 \r \h </w:instrText>
      </w:r>
      <w:r w:rsidR="009C30EE">
        <w:fldChar w:fldCharType="separate"/>
      </w:r>
      <w:r w:rsidR="009C30EE">
        <w:t>A.3</w:t>
      </w:r>
      <w:r w:rsidR="009C30EE">
        <w:fldChar w:fldCharType="end"/>
      </w:r>
      <w:r w:rsidR="00EB5538">
        <w:t>)</w:t>
      </w:r>
      <w:r w:rsidR="00E37AF2">
        <w:t xml:space="preserve"> and therefore provides a strong foundation to the program. The FREP design</w:t>
      </w:r>
      <w:r w:rsidR="00A53657">
        <w:t xml:space="preserve"> is a simple yet statistically sound design that </w:t>
      </w:r>
      <w:r w:rsidR="00FB1373">
        <w:t xml:space="preserve">allows </w:t>
      </w:r>
      <w:r w:rsidR="00E37AF2">
        <w:t xml:space="preserve">flexibility in the questions </w:t>
      </w:r>
      <w:r w:rsidR="001C28E5">
        <w:t xml:space="preserve">that can be asked of the data </w:t>
      </w:r>
      <w:r w:rsidR="00E37AF2">
        <w:t xml:space="preserve">and </w:t>
      </w:r>
      <w:r w:rsidR="001C28E5">
        <w:t xml:space="preserve">related </w:t>
      </w:r>
      <w:r w:rsidR="00E37AF2">
        <w:t xml:space="preserve">analyses. </w:t>
      </w:r>
    </w:p>
    <w:p w:rsidR="009B28C8" w:rsidRDefault="00E37AF2" w:rsidP="007E3503">
      <w:r>
        <w:t xml:space="preserve">Though it does not meet all of the needs and interests of </w:t>
      </w:r>
      <w:r w:rsidR="001C28E5">
        <w:t xml:space="preserve">all </w:t>
      </w:r>
      <w:r>
        <w:t>users</w:t>
      </w:r>
      <w:r w:rsidR="001C28E5">
        <w:t xml:space="preserve"> (an impossible task)</w:t>
      </w:r>
      <w:r>
        <w:t xml:space="preserve">, the existing data is able to address many of those interests </w:t>
      </w:r>
      <w:r w:rsidR="001C28E5">
        <w:t>and can be supplemented to address district specific questions, many of which are as yet undefined</w:t>
      </w:r>
      <w:r>
        <w:t>.</w:t>
      </w:r>
      <w:r w:rsidR="009C30EE">
        <w:t xml:space="preserve"> </w:t>
      </w:r>
      <w:r w:rsidR="009B28C8">
        <w:t>Optimizing the design for specific questions would result in a design with limited flexibility.</w:t>
      </w:r>
    </w:p>
    <w:p w:rsidR="007E3503" w:rsidRDefault="009B28C8" w:rsidP="007E3503">
      <w:r>
        <w:t>T</w:t>
      </w:r>
      <w:r w:rsidR="00E37AF2">
        <w:t xml:space="preserve">he </w:t>
      </w:r>
      <w:r w:rsidR="00DA20FE">
        <w:t xml:space="preserve">original </w:t>
      </w:r>
      <w:r w:rsidR="00E37AF2">
        <w:t>design has been shown to be feasible</w:t>
      </w:r>
      <w:r w:rsidR="001C28E5">
        <w:t xml:space="preserve"> at the Provincial scale</w:t>
      </w:r>
      <w:r w:rsidR="00E37AF2">
        <w:t xml:space="preserve"> over many years and the resources required for full implementation</w:t>
      </w:r>
      <w:r w:rsidR="00DA20FE">
        <w:t xml:space="preserve"> (i.e., across all values and districts)</w:t>
      </w:r>
      <w:r w:rsidR="00E37AF2">
        <w:t xml:space="preserve"> are still within the realm of what is realistically </w:t>
      </w:r>
      <w:r w:rsidR="005230F9">
        <w:t>achievable</w:t>
      </w:r>
      <w:r w:rsidR="00E37AF2">
        <w:t>.</w:t>
      </w:r>
      <w:r w:rsidR="001C28E5">
        <w:t xml:space="preserve"> Completing full implementation across values and </w:t>
      </w:r>
      <w:r w:rsidR="001C28E5" w:rsidRPr="009C30EE">
        <w:t>districts (</w:t>
      </w:r>
      <w:r w:rsidR="009C30EE" w:rsidRPr="009C30EE">
        <w:t xml:space="preserve">Section </w:t>
      </w:r>
      <w:r w:rsidR="009C30EE" w:rsidRPr="009C30EE">
        <w:fldChar w:fldCharType="begin"/>
      </w:r>
      <w:r w:rsidR="009C30EE" w:rsidRPr="009C30EE">
        <w:instrText xml:space="preserve"> REF _Ref437538814 \r \h </w:instrText>
      </w:r>
      <w:r w:rsidR="009C30EE">
        <w:instrText xml:space="preserve"> \* MERGEFORMAT </w:instrText>
      </w:r>
      <w:r w:rsidR="009C30EE" w:rsidRPr="009C30EE">
        <w:fldChar w:fldCharType="separate"/>
      </w:r>
      <w:r w:rsidR="009C30EE" w:rsidRPr="009C30EE">
        <w:t>B.3</w:t>
      </w:r>
      <w:r w:rsidR="009C30EE" w:rsidRPr="009C30EE">
        <w:fldChar w:fldCharType="end"/>
      </w:r>
      <w:r w:rsidR="001C28E5" w:rsidRPr="009C30EE">
        <w:t>)</w:t>
      </w:r>
      <w:r w:rsidR="001C28E5">
        <w:t xml:space="preserve"> will improve the ability to make specific sample size and design recommendations for both core FREP questions and district specific questions.</w:t>
      </w:r>
    </w:p>
    <w:p w:rsidR="00C958C3" w:rsidRDefault="009B28C8" w:rsidP="00C958C3">
      <w:r>
        <w:t>The</w:t>
      </w:r>
      <w:r w:rsidR="006E3794" w:rsidRPr="006E3794">
        <w:t xml:space="preserve"> conclusion </w:t>
      </w:r>
      <w:r w:rsidR="006E3794">
        <w:t>from considering inputs from the survey and workshop, subsequent meetings and discussion, exploration of some of the data, and consideration of alternative design options is that</w:t>
      </w:r>
      <w:r w:rsidR="006E3794" w:rsidRPr="006E3794">
        <w:t xml:space="preserve"> the </w:t>
      </w:r>
      <w:r w:rsidR="006E3794">
        <w:t xml:space="preserve">many </w:t>
      </w:r>
      <w:r w:rsidR="006E3794" w:rsidRPr="006E3794">
        <w:t>potential modifications to make the system more specialized</w:t>
      </w:r>
      <w:r w:rsidR="006E3794">
        <w:t xml:space="preserve">, and therefore more </w:t>
      </w:r>
      <w:r w:rsidR="006E3794" w:rsidRPr="006E3794">
        <w:t>complex</w:t>
      </w:r>
      <w:r w:rsidR="006E3794">
        <w:t>,</w:t>
      </w:r>
      <w:r w:rsidR="006E3794" w:rsidRPr="006E3794">
        <w:t xml:space="preserve"> </w:t>
      </w:r>
      <w:r w:rsidR="006E3794">
        <w:t>would not be</w:t>
      </w:r>
      <w:r w:rsidR="006E3794" w:rsidRPr="006E3794">
        <w:t xml:space="preserve"> worth the </w:t>
      </w:r>
      <w:r w:rsidR="00CA396C">
        <w:t>sacrifices</w:t>
      </w:r>
      <w:r w:rsidR="006E3794" w:rsidRPr="006E3794">
        <w:t xml:space="preserve"> to the </w:t>
      </w:r>
      <w:r w:rsidR="00CA396C">
        <w:t xml:space="preserve">strength and flexibility of the </w:t>
      </w:r>
      <w:r>
        <w:t>original</w:t>
      </w:r>
      <w:r w:rsidRPr="006E3794">
        <w:t xml:space="preserve"> </w:t>
      </w:r>
      <w:r w:rsidR="006E3794" w:rsidRPr="006E3794">
        <w:t>design</w:t>
      </w:r>
      <w:r w:rsidR="006E3794">
        <w:t>.</w:t>
      </w:r>
      <w:r w:rsidR="000B0ED2">
        <w:t xml:space="preserve"> </w:t>
      </w:r>
    </w:p>
    <w:p w:rsidR="00A37EEE" w:rsidRDefault="006E3794" w:rsidP="009C30EE">
      <w:pPr>
        <w:pBdr>
          <w:top w:val="single" w:sz="4" w:space="1" w:color="auto"/>
          <w:left w:val="single" w:sz="4" w:space="4" w:color="auto"/>
          <w:bottom w:val="single" w:sz="4" w:space="1" w:color="auto"/>
          <w:right w:val="single" w:sz="4" w:space="4" w:color="auto"/>
        </w:pBdr>
        <w:shd w:val="clear" w:color="auto" w:fill="EEECE1" w:themeFill="background2"/>
        <w:spacing w:after="60"/>
      </w:pPr>
      <w:r>
        <w:t>In its essence, o</w:t>
      </w:r>
      <w:r w:rsidR="00FE0CD3">
        <w:t>ur recommendation comprises three components:</w:t>
      </w:r>
    </w:p>
    <w:p w:rsidR="00A37EEE" w:rsidRDefault="001F747E" w:rsidP="009C30EE">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EEECE1" w:themeFill="background2"/>
        <w:spacing w:after="60"/>
        <w:ind w:left="360"/>
      </w:pPr>
      <w:r w:rsidRPr="00B430B6">
        <w:rPr>
          <w:b/>
        </w:rPr>
        <w:t>Education</w:t>
      </w:r>
      <w:r>
        <w:t xml:space="preserve"> - </w:t>
      </w:r>
      <w:r w:rsidR="00B01F0B">
        <w:t>f</w:t>
      </w:r>
      <w:r>
        <w:t xml:space="preserve">urther guidance </w:t>
      </w:r>
      <w:r w:rsidR="005230F9">
        <w:t xml:space="preserve">is needed </w:t>
      </w:r>
      <w:r>
        <w:t>on w</w:t>
      </w:r>
      <w:r w:rsidR="00A37EEE">
        <w:t xml:space="preserve">hat can </w:t>
      </w:r>
      <w:r w:rsidR="00665F1B">
        <w:t>and</w:t>
      </w:r>
      <w:r w:rsidR="00FE0CD3">
        <w:t xml:space="preserve"> could </w:t>
      </w:r>
      <w:r w:rsidR="00A37EEE">
        <w:t xml:space="preserve">be done with </w:t>
      </w:r>
      <w:r w:rsidR="00FE0CD3">
        <w:t xml:space="preserve">the </w:t>
      </w:r>
      <w:r w:rsidR="00A37EEE">
        <w:t>existing</w:t>
      </w:r>
      <w:r w:rsidR="00FE0CD3">
        <w:t xml:space="preserve"> data</w:t>
      </w:r>
      <w:r w:rsidR="00B01F0B">
        <w:t>;</w:t>
      </w:r>
    </w:p>
    <w:p w:rsidR="00A37EEE" w:rsidRDefault="001F747E" w:rsidP="009C30EE">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EEECE1" w:themeFill="background2"/>
        <w:spacing w:after="60"/>
        <w:ind w:left="360"/>
      </w:pPr>
      <w:r w:rsidRPr="00B430B6">
        <w:rPr>
          <w:b/>
        </w:rPr>
        <w:t>Core sampling</w:t>
      </w:r>
      <w:r>
        <w:t xml:space="preserve"> </w:t>
      </w:r>
      <w:r w:rsidR="00B01F0B">
        <w:t>–</w:t>
      </w:r>
      <w:r>
        <w:t xml:space="preserve"> </w:t>
      </w:r>
      <w:r w:rsidR="00B01F0B">
        <w:t>a f</w:t>
      </w:r>
      <w:r>
        <w:t>ramework to guide the a</w:t>
      </w:r>
      <w:r w:rsidR="00A37EEE">
        <w:t xml:space="preserve">llocation of samples to </w:t>
      </w:r>
      <w:r w:rsidR="00665F1B">
        <w:t xml:space="preserve">achieve full and comprehensive implementation of the original </w:t>
      </w:r>
      <w:r w:rsidR="00A37EEE">
        <w:t>core FREP</w:t>
      </w:r>
      <w:r w:rsidR="00665F1B">
        <w:t xml:space="preserve"> design</w:t>
      </w:r>
      <w:r w:rsidR="00B01F0B">
        <w:t>;</w:t>
      </w:r>
    </w:p>
    <w:p w:rsidR="00A37EEE" w:rsidRDefault="001F747E" w:rsidP="009C30EE">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EEECE1" w:themeFill="background2"/>
        <w:spacing w:after="60"/>
        <w:ind w:left="360"/>
      </w:pPr>
      <w:r w:rsidRPr="00B430B6">
        <w:rPr>
          <w:b/>
        </w:rPr>
        <w:t>Priority sampling</w:t>
      </w:r>
      <w:r>
        <w:t xml:space="preserve"> – </w:t>
      </w:r>
      <w:r w:rsidR="00B01F0B">
        <w:t>g</w:t>
      </w:r>
      <w:r>
        <w:t>uidance for the a</w:t>
      </w:r>
      <w:r w:rsidR="00A37EEE">
        <w:t xml:space="preserve">llocation of </w:t>
      </w:r>
      <w:r w:rsidR="00FE0CD3">
        <w:t xml:space="preserve">additional </w:t>
      </w:r>
      <w:r w:rsidR="00A37EEE">
        <w:t>sampl</w:t>
      </w:r>
      <w:r w:rsidR="00FE0CD3">
        <w:t>ing</w:t>
      </w:r>
      <w:r w:rsidR="00A37EEE">
        <w:t xml:space="preserve"> to support district</w:t>
      </w:r>
      <w:r>
        <w:t>-level</w:t>
      </w:r>
      <w:r w:rsidR="00A37EEE">
        <w:t xml:space="preserve"> priorities</w:t>
      </w:r>
      <w:r w:rsidR="005A551C">
        <w:t xml:space="preserve"> </w:t>
      </w:r>
      <w:r>
        <w:t>without compromising the strength of the core FREP design.</w:t>
      </w:r>
    </w:p>
    <w:p w:rsidR="00B01F0B" w:rsidRDefault="00B01F0B" w:rsidP="00B01F0B">
      <w:pPr>
        <w:pStyle w:val="ListParagraph"/>
        <w:numPr>
          <w:ilvl w:val="0"/>
          <w:numId w:val="0"/>
        </w:numPr>
        <w:spacing w:after="60"/>
        <w:ind w:left="720"/>
      </w:pPr>
    </w:p>
    <w:p w:rsidR="00FE0CD3" w:rsidRDefault="001F747E" w:rsidP="00B01F0B">
      <w:pPr>
        <w:spacing w:after="60"/>
      </w:pPr>
      <w:r>
        <w:t>As detailed in the following sections, this approach maintains and expands upon the core design without eroding the strength of it. It maintains data compatibility over time and includes consideration of temporal dynamics. This approach also addresses some of the substantial needs and interests that users identified as not currently being met, including:</w:t>
      </w:r>
    </w:p>
    <w:p w:rsidR="001F747E" w:rsidRDefault="001F747E" w:rsidP="00B01F0B">
      <w:pPr>
        <w:pStyle w:val="ListParagraph"/>
        <w:numPr>
          <w:ilvl w:val="0"/>
          <w:numId w:val="6"/>
        </w:numPr>
        <w:spacing w:after="60"/>
      </w:pPr>
      <w:r>
        <w:t>Achieving full, ongoing coverage across all values</w:t>
      </w:r>
    </w:p>
    <w:p w:rsidR="001F747E" w:rsidRDefault="001F747E" w:rsidP="00B01F0B">
      <w:pPr>
        <w:pStyle w:val="ListParagraph"/>
        <w:numPr>
          <w:ilvl w:val="0"/>
          <w:numId w:val="6"/>
        </w:numPr>
        <w:spacing w:after="60"/>
      </w:pPr>
      <w:r>
        <w:t xml:space="preserve">Providing </w:t>
      </w:r>
      <w:r w:rsidR="00B83479">
        <w:t>recent, up-to-date data for assessing current condition</w:t>
      </w:r>
    </w:p>
    <w:p w:rsidR="00B83479" w:rsidRDefault="006E3794" w:rsidP="00B01F0B">
      <w:pPr>
        <w:pStyle w:val="ListParagraph"/>
        <w:numPr>
          <w:ilvl w:val="0"/>
          <w:numId w:val="6"/>
        </w:numPr>
        <w:spacing w:after="60"/>
      </w:pPr>
      <w:r>
        <w:t>Allowing t</w:t>
      </w:r>
      <w:r w:rsidR="00B83479">
        <w:t xml:space="preserve">he </w:t>
      </w:r>
      <w:r>
        <w:t>flexibility</w:t>
      </w:r>
      <w:r w:rsidR="00B83479">
        <w:t xml:space="preserve"> to address district-specific priorities</w:t>
      </w:r>
    </w:p>
    <w:p w:rsidR="00B01F0B" w:rsidRDefault="00B01F0B" w:rsidP="00B01F0B">
      <w:pPr>
        <w:pStyle w:val="ListParagraph"/>
        <w:numPr>
          <w:ilvl w:val="0"/>
          <w:numId w:val="0"/>
        </w:numPr>
        <w:spacing w:after="60"/>
        <w:ind w:left="720"/>
      </w:pPr>
    </w:p>
    <w:p w:rsidR="00300446" w:rsidRDefault="006E3794" w:rsidP="006E3794">
      <w:r>
        <w:lastRenderedPageBreak/>
        <w:t xml:space="preserve">Overall the following guidance adheres to the principles </w:t>
      </w:r>
      <w:r w:rsidR="00245371">
        <w:t xml:space="preserve">discussed </w:t>
      </w:r>
      <w:r>
        <w:t>above,</w:t>
      </w:r>
      <w:r w:rsidR="00245371">
        <w:t xml:space="preserve"> maintaining simplicity and flexibility</w:t>
      </w:r>
      <w:r>
        <w:t>, providing guidance based on statistical principles and realistic logistical constraints</w:t>
      </w:r>
      <w:r w:rsidR="00245371">
        <w:t>, and accounting for some of the major needs identified by users.</w:t>
      </w:r>
    </w:p>
    <w:p w:rsidR="00300446" w:rsidRDefault="00300446" w:rsidP="00300446">
      <w:r>
        <w:br w:type="page"/>
      </w:r>
    </w:p>
    <w:p w:rsidR="0043299E" w:rsidRPr="00D1323F" w:rsidRDefault="00772529" w:rsidP="00D1323F">
      <w:pPr>
        <w:pStyle w:val="Heading1"/>
        <w:numPr>
          <w:ilvl w:val="0"/>
          <w:numId w:val="0"/>
        </w:numPr>
        <w:ind w:left="360" w:hanging="360"/>
      </w:pPr>
      <w:bookmarkStart w:id="8" w:name="_Toc442204965"/>
      <w:r>
        <w:lastRenderedPageBreak/>
        <w:t>Component</w:t>
      </w:r>
      <w:r w:rsidR="00577998" w:rsidRPr="00D1323F">
        <w:t xml:space="preserve"> I: </w:t>
      </w:r>
      <w:r w:rsidR="000B519A" w:rsidRPr="00D1323F">
        <w:t xml:space="preserve">Getting </w:t>
      </w:r>
      <w:r w:rsidR="004D503A" w:rsidRPr="00D1323F">
        <w:t xml:space="preserve">more </w:t>
      </w:r>
      <w:r w:rsidR="000B519A" w:rsidRPr="00D1323F">
        <w:t>benefit from</w:t>
      </w:r>
      <w:r w:rsidR="004D503A" w:rsidRPr="00D1323F">
        <w:t xml:space="preserve"> the </w:t>
      </w:r>
      <w:r w:rsidR="000B519A" w:rsidRPr="00D1323F">
        <w:t>existing</w:t>
      </w:r>
      <w:r w:rsidR="004D503A" w:rsidRPr="00D1323F">
        <w:t xml:space="preserve"> data</w:t>
      </w:r>
      <w:bookmarkEnd w:id="8"/>
    </w:p>
    <w:p w:rsidR="003440D2" w:rsidRDefault="003461EF" w:rsidP="003440D2">
      <w:r>
        <w:t>Even with a good sampling design and strong implementation, a</w:t>
      </w:r>
      <w:r w:rsidR="003440D2">
        <w:t xml:space="preserve"> common problem with many monitoring </w:t>
      </w:r>
      <w:r>
        <w:t xml:space="preserve">programs is not having a full understanding of the value of the data that is collected and the breadth of potential ways it can be utilized. Many concerns that were raised in the survey and workshop reflected a gap in knowledge about the strength of the data and the value of the design, rather than actual substantive gaps in the program.  </w:t>
      </w:r>
    </w:p>
    <w:p w:rsidR="00053EDD" w:rsidRDefault="003461EF" w:rsidP="006E6BCE">
      <w:r>
        <w:t>The fundamental recommendation is</w:t>
      </w:r>
      <w:r w:rsidR="00B01F0B">
        <w:t xml:space="preserve"> the need to address these knowledge gaps. T</w:t>
      </w:r>
      <w:r>
        <w:t xml:space="preserve">here is tremendous potential for increasing </w:t>
      </w:r>
      <w:r w:rsidR="00E96D69">
        <w:t xml:space="preserve">the value of the FREP program by increasing the level of education regarding 1) the strength of the FREP data and the many ways it could be used and 2) common misunderstandings about statistical sampling design. </w:t>
      </w:r>
      <w:r w:rsidR="00053EDD">
        <w:t>This aligns with some of the “take home messages” communicated in the March 2015 report, based on feedback through the survey and workshop:</w:t>
      </w:r>
    </w:p>
    <w:p w:rsidR="00053EDD" w:rsidRDefault="00053EDD" w:rsidP="006E6BCE">
      <w:pPr>
        <w:ind w:left="720" w:right="720"/>
        <w:rPr>
          <w:i/>
          <w:sz w:val="20"/>
        </w:rPr>
      </w:pPr>
      <w:r w:rsidRPr="001A2D28">
        <w:rPr>
          <w:i/>
          <w:sz w:val="20"/>
        </w:rPr>
        <w:t>“There are still many additional analyses that could be done to explore the existing data. Some believe that we have only “scratched the surface” in terms of what could be learned from the data already collected. Some analyses might be able to address needs currently perceived as not being met, whereas other analyses may help improve our understanding of potential modifications to the design and whether they would be beneficial.” (</w:t>
      </w:r>
      <w:r w:rsidR="001A2D28" w:rsidRPr="001A2D28">
        <w:rPr>
          <w:i/>
          <w:sz w:val="20"/>
        </w:rPr>
        <w:t>Section 2.6.1)</w:t>
      </w:r>
    </w:p>
    <w:p w:rsidR="001A2D28" w:rsidRPr="001A2D28" w:rsidRDefault="001A2D28" w:rsidP="006E6BCE">
      <w:pPr>
        <w:ind w:left="720" w:right="720"/>
        <w:rPr>
          <w:i/>
          <w:sz w:val="20"/>
        </w:rPr>
      </w:pPr>
      <w:r w:rsidRPr="001A2D28">
        <w:rPr>
          <w:i/>
          <w:sz w:val="20"/>
        </w:rPr>
        <w:t>“There appears to be an important need for users to better understand what the existing data can and cannot do that is not being completely met through existing communication and reporting channels. In some cases, unmet needs identified by users may actually be addressable with existing data, thus not requiring any modifications to the design.</w:t>
      </w:r>
      <w:r w:rsidR="00B01F0B">
        <w:rPr>
          <w:i/>
          <w:sz w:val="20"/>
        </w:rPr>
        <w:t>”</w:t>
      </w:r>
      <w:r w:rsidRPr="001A2D28">
        <w:rPr>
          <w:i/>
          <w:sz w:val="20"/>
        </w:rPr>
        <w:t xml:space="preserve"> (Section 2.6.</w:t>
      </w:r>
      <w:r>
        <w:rPr>
          <w:i/>
          <w:sz w:val="20"/>
        </w:rPr>
        <w:t>2</w:t>
      </w:r>
      <w:r w:rsidRPr="001A2D28">
        <w:rPr>
          <w:i/>
          <w:sz w:val="20"/>
        </w:rPr>
        <w:t>)</w:t>
      </w:r>
    </w:p>
    <w:p w:rsidR="001A2D28" w:rsidRDefault="001A2D28" w:rsidP="001A2D28">
      <w:r>
        <w:t>Although i</w:t>
      </w:r>
      <w:r w:rsidR="00053EDD">
        <w:t xml:space="preserve">t </w:t>
      </w:r>
      <w:r>
        <w:t xml:space="preserve">is </w:t>
      </w:r>
      <w:r w:rsidR="00053EDD">
        <w:t xml:space="preserve">beyond the scope of the present work to provide </w:t>
      </w:r>
      <w:r w:rsidR="00E96D69">
        <w:t>a comprehensive</w:t>
      </w:r>
      <w:r w:rsidR="00053EDD">
        <w:t xml:space="preserve"> </w:t>
      </w:r>
      <w:r>
        <w:t>education program or data analysis handbook, this section provides some pragmatic information, examples and thoughts to help expand the understanding of the possibilities within the existing design. It should be considered only as a starting point for further developing an expanded understanding of the FREP data within the user community.</w:t>
      </w:r>
      <w:r w:rsidRPr="001A2D28">
        <w:t xml:space="preserve"> </w:t>
      </w:r>
      <w:r>
        <w:t xml:space="preserve">When collected </w:t>
      </w:r>
      <w:r w:rsidR="00652743">
        <w:t>with</w:t>
      </w:r>
      <w:r>
        <w:t xml:space="preserve">in </w:t>
      </w:r>
      <w:r w:rsidR="00652743">
        <w:t xml:space="preserve">a </w:t>
      </w:r>
      <w:r>
        <w:t>good design, there is always a tremendous amount that can be done with the resultant data.</w:t>
      </w:r>
    </w:p>
    <w:p w:rsidR="0022285C" w:rsidRDefault="00FD20E4" w:rsidP="00D1323F">
      <w:pPr>
        <w:pStyle w:val="Heading2"/>
      </w:pPr>
      <w:bookmarkStart w:id="9" w:name="_Ref442204577"/>
      <w:bookmarkStart w:id="10" w:name="_Toc442204966"/>
      <w:r>
        <w:t xml:space="preserve">Further </w:t>
      </w:r>
      <w:r w:rsidR="0031312F">
        <w:t xml:space="preserve">Use </w:t>
      </w:r>
      <w:r>
        <w:t>and/or</w:t>
      </w:r>
      <w:r w:rsidR="00A9519E">
        <w:t xml:space="preserve"> </w:t>
      </w:r>
      <w:r w:rsidR="0031312F">
        <w:t xml:space="preserve">Exploration </w:t>
      </w:r>
      <w:r w:rsidR="00A9519E">
        <w:t xml:space="preserve">of the </w:t>
      </w:r>
      <w:r w:rsidR="0031312F">
        <w:t>Existing Data</w:t>
      </w:r>
      <w:bookmarkEnd w:id="9"/>
      <w:bookmarkEnd w:id="10"/>
    </w:p>
    <w:p w:rsidR="009778F2" w:rsidRDefault="009778F2" w:rsidP="002B118C">
      <w:pPr>
        <w:pStyle w:val="SubHead1"/>
      </w:pPr>
      <w:r w:rsidRPr="00932C3C">
        <w:t>Data availability</w:t>
      </w:r>
    </w:p>
    <w:p w:rsidR="006E6BCE" w:rsidRDefault="006E6BCE" w:rsidP="006418EB">
      <w:r>
        <w:t xml:space="preserve">The FREP </w:t>
      </w:r>
      <w:r w:rsidR="00D944B1">
        <w:t xml:space="preserve">monitoring program has collected a substantial amount of data thus far. </w:t>
      </w:r>
      <w:r w:rsidR="00495B9B">
        <w:fldChar w:fldCharType="begin"/>
      </w:r>
      <w:r w:rsidR="00D944B1">
        <w:instrText xml:space="preserve"> REF _Ref436839359 \h </w:instrText>
      </w:r>
      <w:r w:rsidR="00495B9B">
        <w:fldChar w:fldCharType="separate"/>
      </w:r>
      <w:r w:rsidR="005E13E6">
        <w:t xml:space="preserve">Table </w:t>
      </w:r>
      <w:r w:rsidR="005E13E6">
        <w:rPr>
          <w:noProof/>
        </w:rPr>
        <w:t>1</w:t>
      </w:r>
      <w:r w:rsidR="00495B9B">
        <w:fldChar w:fldCharType="end"/>
      </w:r>
      <w:r w:rsidR="00D944B1">
        <w:t xml:space="preserve"> shows the number of </w:t>
      </w:r>
      <w:proofErr w:type="spellStart"/>
      <w:r w:rsidR="00D944B1">
        <w:t>cutblocks</w:t>
      </w:r>
      <w:proofErr w:type="spellEnd"/>
      <w:r w:rsidR="00D944B1">
        <w:t xml:space="preserve"> sampled by district and by value over the course of FREP’s operation</w:t>
      </w:r>
      <w:r w:rsidR="00554E8D">
        <w:t xml:space="preserve">. The present report addresses 8 of the 11 FREP values: </w:t>
      </w:r>
      <w:r w:rsidR="00554E8D" w:rsidRPr="00554E8D">
        <w:t>stand-level biodiversity, riparian, water quality, visual quality, cultural heritage resources, stand development monitoring</w:t>
      </w:r>
      <w:r w:rsidR="00554E8D">
        <w:t>, wildlife, and karst (applicable to 5 districts</w:t>
      </w:r>
      <w:r w:rsidR="0043463B">
        <w:t xml:space="preserve"> only</w:t>
      </w:r>
      <w:r w:rsidR="00554E8D">
        <w:t>)</w:t>
      </w:r>
      <w:r w:rsidR="00554E8D" w:rsidRPr="00554E8D">
        <w:t xml:space="preserve">. </w:t>
      </w:r>
      <w:r w:rsidR="0043463B">
        <w:t xml:space="preserve">Monitoring of the </w:t>
      </w:r>
      <w:r w:rsidR="00554E8D">
        <w:t xml:space="preserve">three </w:t>
      </w:r>
      <w:r w:rsidR="0043463B">
        <w:t xml:space="preserve">additional </w:t>
      </w:r>
      <w:r w:rsidR="00554E8D">
        <w:t xml:space="preserve">FREP </w:t>
      </w:r>
      <w:r w:rsidR="00554E8D" w:rsidRPr="00554E8D">
        <w:t>values</w:t>
      </w:r>
      <w:r w:rsidR="0043463B">
        <w:t xml:space="preserve"> </w:t>
      </w:r>
      <w:r w:rsidR="00554E8D">
        <w:t>(</w:t>
      </w:r>
      <w:r w:rsidR="00554E8D" w:rsidRPr="00554E8D">
        <w:t>soils, range, and recreation</w:t>
      </w:r>
      <w:r w:rsidR="0043463B">
        <w:t>) is addressed through</w:t>
      </w:r>
      <w:r w:rsidR="00554E8D" w:rsidRPr="00554E8D">
        <w:t xml:space="preserve"> </w:t>
      </w:r>
      <w:r w:rsidR="0043463B">
        <w:t>other special projects. Th</w:t>
      </w:r>
      <w:r w:rsidR="008767AB">
        <w:t>ese</w:t>
      </w:r>
      <w:r w:rsidR="0043463B">
        <w:t xml:space="preserve"> 8 values are herein referred to as the “core” FREP values because they are the values addressed within the present framework</w:t>
      </w:r>
      <w:r w:rsidR="008767AB">
        <w:t xml:space="preserve">. However, the label “core” should not be interpreted as indication of any prioritization among FREP </w:t>
      </w:r>
      <w:r w:rsidR="0043463B">
        <w:t>values.</w:t>
      </w:r>
    </w:p>
    <w:p w:rsidR="00A80DCD" w:rsidRDefault="00A80DCD" w:rsidP="00E92DBE">
      <w:pPr>
        <w:pStyle w:val="Caption"/>
        <w:keepNext/>
        <w:keepLines/>
      </w:pPr>
      <w:bookmarkStart w:id="11" w:name="_Ref436839359"/>
      <w:proofErr w:type="gramStart"/>
      <w:r>
        <w:lastRenderedPageBreak/>
        <w:t xml:space="preserve">Table </w:t>
      </w:r>
      <w:r w:rsidR="00495B9B">
        <w:fldChar w:fldCharType="begin"/>
      </w:r>
      <w:r w:rsidR="002F6AE4">
        <w:instrText xml:space="preserve"> SEQ Table \* ARABIC </w:instrText>
      </w:r>
      <w:r w:rsidR="00495B9B">
        <w:fldChar w:fldCharType="separate"/>
      </w:r>
      <w:r w:rsidR="005E13E6">
        <w:rPr>
          <w:noProof/>
        </w:rPr>
        <w:t>1</w:t>
      </w:r>
      <w:r w:rsidR="00495B9B">
        <w:rPr>
          <w:noProof/>
        </w:rPr>
        <w:fldChar w:fldCharType="end"/>
      </w:r>
      <w:bookmarkEnd w:id="11"/>
      <w:r w:rsidR="00546F9F">
        <w:t>.</w:t>
      </w:r>
      <w:proofErr w:type="gramEnd"/>
      <w:r w:rsidR="00546F9F">
        <w:tab/>
      </w:r>
      <w:proofErr w:type="spellStart"/>
      <w:r>
        <w:t>Cutblocks</w:t>
      </w:r>
      <w:proofErr w:type="spellEnd"/>
      <w:r>
        <w:t xml:space="preserve"> sampled by value by district, 2006-2015.</w:t>
      </w:r>
      <w:r w:rsidR="00DA3AB7">
        <w:t xml:space="preserve"> </w:t>
      </w:r>
    </w:p>
    <w:tbl>
      <w:tblPr>
        <w:tblW w:w="6675" w:type="dxa"/>
        <w:jc w:val="center"/>
        <w:tblInd w:w="93" w:type="dxa"/>
        <w:tblLook w:val="04A0" w:firstRow="1" w:lastRow="0" w:firstColumn="1" w:lastColumn="0" w:noHBand="0" w:noVBand="1"/>
      </w:tblPr>
      <w:tblGrid>
        <w:gridCol w:w="814"/>
        <w:gridCol w:w="666"/>
        <w:gridCol w:w="622"/>
        <w:gridCol w:w="622"/>
        <w:gridCol w:w="521"/>
        <w:gridCol w:w="576"/>
        <w:gridCol w:w="612"/>
        <w:gridCol w:w="801"/>
        <w:gridCol w:w="602"/>
        <w:gridCol w:w="839"/>
      </w:tblGrid>
      <w:tr w:rsidR="005230F9" w:rsidRPr="00A80DCD" w:rsidTr="00E76880">
        <w:trPr>
          <w:trHeight w:val="97"/>
          <w:jc w:val="center"/>
        </w:trPr>
        <w:tc>
          <w:tcPr>
            <w:tcW w:w="814" w:type="dxa"/>
            <w:tcBorders>
              <w:top w:val="nil"/>
              <w:left w:val="nil"/>
              <w:bottom w:val="single" w:sz="4" w:space="0" w:color="auto"/>
              <w:right w:val="nil"/>
            </w:tcBorders>
            <w:shd w:val="clear" w:color="auto" w:fill="auto"/>
            <w:noWrap/>
            <w:vAlign w:val="bottom"/>
          </w:tcPr>
          <w:p w:rsidR="005230F9" w:rsidRPr="005230F9" w:rsidRDefault="005230F9" w:rsidP="005230F9">
            <w:pPr>
              <w:keepNext/>
              <w:keepLines/>
              <w:spacing w:after="0" w:line="240" w:lineRule="auto"/>
              <w:rPr>
                <w:rFonts w:eastAsia="Times New Roman" w:cstheme="minorHAnsi"/>
                <w:sz w:val="20"/>
                <w:szCs w:val="20"/>
              </w:rPr>
            </w:pPr>
          </w:p>
        </w:tc>
        <w:tc>
          <w:tcPr>
            <w:tcW w:w="5861" w:type="dxa"/>
            <w:gridSpan w:val="9"/>
            <w:tcBorders>
              <w:top w:val="single" w:sz="8" w:space="0" w:color="auto"/>
              <w:left w:val="single" w:sz="8" w:space="0" w:color="auto"/>
              <w:bottom w:val="single" w:sz="8" w:space="0" w:color="auto"/>
              <w:right w:val="single" w:sz="8" w:space="0" w:color="auto"/>
            </w:tcBorders>
            <w:shd w:val="clear" w:color="auto" w:fill="BFBFBF" w:themeFill="background1" w:themeFillShade="BF"/>
            <w:vAlign w:val="bottom"/>
          </w:tcPr>
          <w:p w:rsidR="005230F9" w:rsidRPr="005230F9" w:rsidRDefault="005230F9" w:rsidP="005230F9">
            <w:pPr>
              <w:keepNext/>
              <w:keepLines/>
              <w:spacing w:after="0" w:line="240" w:lineRule="auto"/>
              <w:jc w:val="center"/>
              <w:rPr>
                <w:rFonts w:eastAsia="Times New Roman" w:cstheme="minorHAnsi"/>
                <w:b/>
                <w:bCs/>
                <w:sz w:val="20"/>
                <w:szCs w:val="20"/>
              </w:rPr>
            </w:pPr>
            <w:r>
              <w:rPr>
                <w:rFonts w:eastAsia="Times New Roman" w:cstheme="minorHAnsi"/>
                <w:b/>
                <w:bCs/>
                <w:sz w:val="20"/>
                <w:szCs w:val="20"/>
              </w:rPr>
              <w:t>FREP Resource Value</w:t>
            </w:r>
          </w:p>
        </w:tc>
      </w:tr>
      <w:tr w:rsidR="00A80DCD" w:rsidRPr="00A80DCD" w:rsidTr="00E76880">
        <w:trPr>
          <w:trHeight w:val="106"/>
          <w:jc w:val="center"/>
        </w:trPr>
        <w:tc>
          <w:tcPr>
            <w:tcW w:w="81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A80DCD" w:rsidRPr="005230F9" w:rsidRDefault="005230F9"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District</w:t>
            </w:r>
          </w:p>
        </w:tc>
        <w:tc>
          <w:tcPr>
            <w:tcW w:w="666"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SLBD</w:t>
            </w:r>
          </w:p>
        </w:tc>
        <w:tc>
          <w:tcPr>
            <w:tcW w:w="622" w:type="dxa"/>
            <w:tcBorders>
              <w:top w:val="single" w:sz="8" w:space="0" w:color="auto"/>
              <w:left w:val="nil"/>
              <w:bottom w:val="single" w:sz="8" w:space="0" w:color="auto"/>
              <w:right w:val="single" w:sz="4" w:space="0" w:color="auto"/>
            </w:tcBorders>
            <w:shd w:val="clear" w:color="auto" w:fill="BFBFBF" w:themeFill="background1" w:themeFillShade="BF"/>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Rip</w:t>
            </w:r>
          </w:p>
        </w:tc>
        <w:tc>
          <w:tcPr>
            <w:tcW w:w="622" w:type="dxa"/>
            <w:tcBorders>
              <w:top w:val="single" w:sz="8" w:space="0" w:color="auto"/>
              <w:left w:val="nil"/>
              <w:bottom w:val="single" w:sz="8" w:space="0" w:color="auto"/>
              <w:right w:val="single" w:sz="4" w:space="0" w:color="auto"/>
            </w:tcBorders>
            <w:shd w:val="clear" w:color="auto" w:fill="BFBFBF" w:themeFill="background1" w:themeFillShade="BF"/>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WQ</w:t>
            </w:r>
          </w:p>
        </w:tc>
        <w:tc>
          <w:tcPr>
            <w:tcW w:w="521" w:type="dxa"/>
            <w:tcBorders>
              <w:top w:val="single" w:sz="8" w:space="0" w:color="auto"/>
              <w:left w:val="nil"/>
              <w:bottom w:val="single" w:sz="8" w:space="0" w:color="auto"/>
              <w:right w:val="single" w:sz="4" w:space="0" w:color="auto"/>
            </w:tcBorders>
            <w:shd w:val="clear" w:color="auto" w:fill="BFBFBF" w:themeFill="background1" w:themeFillShade="BF"/>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VQ</w:t>
            </w:r>
          </w:p>
        </w:tc>
        <w:tc>
          <w:tcPr>
            <w:tcW w:w="576" w:type="dxa"/>
            <w:tcBorders>
              <w:top w:val="single" w:sz="8" w:space="0" w:color="auto"/>
              <w:left w:val="nil"/>
              <w:bottom w:val="single" w:sz="8" w:space="0" w:color="auto"/>
              <w:right w:val="single" w:sz="4" w:space="0" w:color="auto"/>
            </w:tcBorders>
            <w:shd w:val="clear" w:color="auto" w:fill="BFBFBF" w:themeFill="background1" w:themeFillShade="BF"/>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CHR</w:t>
            </w:r>
          </w:p>
        </w:tc>
        <w:tc>
          <w:tcPr>
            <w:tcW w:w="612" w:type="dxa"/>
            <w:tcBorders>
              <w:top w:val="single" w:sz="8" w:space="0" w:color="auto"/>
              <w:left w:val="nil"/>
              <w:bottom w:val="single" w:sz="8" w:space="0" w:color="auto"/>
              <w:right w:val="single" w:sz="4" w:space="0" w:color="auto"/>
            </w:tcBorders>
            <w:shd w:val="clear" w:color="auto" w:fill="BFBFBF" w:themeFill="background1" w:themeFillShade="BF"/>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SDM</w:t>
            </w:r>
          </w:p>
        </w:tc>
        <w:tc>
          <w:tcPr>
            <w:tcW w:w="801" w:type="dxa"/>
            <w:tcBorders>
              <w:top w:val="single" w:sz="8" w:space="0" w:color="auto"/>
              <w:left w:val="nil"/>
              <w:bottom w:val="single" w:sz="8" w:space="0" w:color="auto"/>
              <w:right w:val="single" w:sz="4" w:space="0" w:color="auto"/>
            </w:tcBorders>
            <w:shd w:val="clear" w:color="auto" w:fill="BFBFBF" w:themeFill="background1" w:themeFillShade="BF"/>
            <w:vAlign w:val="bottom"/>
            <w:hideMark/>
          </w:tcPr>
          <w:p w:rsidR="00A80DCD" w:rsidRPr="00E76880" w:rsidRDefault="00A80DCD" w:rsidP="005230F9">
            <w:pPr>
              <w:keepNext/>
              <w:keepLines/>
              <w:spacing w:after="0" w:line="240" w:lineRule="auto"/>
              <w:rPr>
                <w:rFonts w:eastAsia="Times New Roman" w:cstheme="minorHAnsi"/>
                <w:b/>
                <w:bCs/>
                <w:sz w:val="18"/>
                <w:szCs w:val="20"/>
              </w:rPr>
            </w:pPr>
            <w:r w:rsidRPr="00E76880">
              <w:rPr>
                <w:rFonts w:eastAsia="Times New Roman" w:cstheme="minorHAnsi"/>
                <w:b/>
                <w:bCs/>
                <w:sz w:val="18"/>
                <w:szCs w:val="20"/>
              </w:rPr>
              <w:t>Wildlife</w:t>
            </w:r>
          </w:p>
        </w:tc>
        <w:tc>
          <w:tcPr>
            <w:tcW w:w="602" w:type="dxa"/>
            <w:tcBorders>
              <w:top w:val="single" w:sz="8" w:space="0" w:color="auto"/>
              <w:left w:val="nil"/>
              <w:bottom w:val="single" w:sz="8" w:space="0" w:color="auto"/>
              <w:right w:val="single" w:sz="8" w:space="0" w:color="auto"/>
            </w:tcBorders>
            <w:shd w:val="clear" w:color="auto" w:fill="BFBFBF" w:themeFill="background1" w:themeFillShade="BF"/>
            <w:vAlign w:val="bottom"/>
            <w:hideMark/>
          </w:tcPr>
          <w:p w:rsidR="00A80DCD" w:rsidRPr="00E76880" w:rsidRDefault="00A80DCD" w:rsidP="005230F9">
            <w:pPr>
              <w:keepNext/>
              <w:keepLines/>
              <w:spacing w:after="0" w:line="240" w:lineRule="auto"/>
              <w:rPr>
                <w:rFonts w:eastAsia="Times New Roman" w:cstheme="minorHAnsi"/>
                <w:b/>
                <w:bCs/>
                <w:sz w:val="18"/>
                <w:szCs w:val="20"/>
              </w:rPr>
            </w:pPr>
            <w:r w:rsidRPr="00E76880">
              <w:rPr>
                <w:rFonts w:eastAsia="Times New Roman" w:cstheme="minorHAnsi"/>
                <w:b/>
                <w:bCs/>
                <w:sz w:val="18"/>
                <w:szCs w:val="20"/>
              </w:rPr>
              <w:t>Karst</w:t>
            </w:r>
          </w:p>
        </w:tc>
        <w:tc>
          <w:tcPr>
            <w:tcW w:w="839" w:type="dxa"/>
            <w:tcBorders>
              <w:top w:val="single" w:sz="8" w:space="0" w:color="auto"/>
              <w:left w:val="nil"/>
              <w:bottom w:val="single" w:sz="8" w:space="0" w:color="auto"/>
              <w:right w:val="single" w:sz="8" w:space="0" w:color="auto"/>
            </w:tcBorders>
            <w:shd w:val="clear" w:color="auto" w:fill="BFBFBF" w:themeFill="background1" w:themeFillShade="BF"/>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District Total</w:t>
            </w:r>
          </w:p>
        </w:tc>
      </w:tr>
      <w:tr w:rsidR="00A80DCD" w:rsidRPr="00A80DCD" w:rsidTr="00541AEB">
        <w:trPr>
          <w:trHeight w:val="255"/>
          <w:jc w:val="center"/>
        </w:trPr>
        <w:tc>
          <w:tcPr>
            <w:tcW w:w="814" w:type="dxa"/>
            <w:tcBorders>
              <w:top w:val="single" w:sz="4" w:space="0" w:color="auto"/>
              <w:left w:val="single" w:sz="8" w:space="0" w:color="auto"/>
              <w:bottom w:val="single" w:sz="4" w:space="0" w:color="auto"/>
              <w:right w:val="single" w:sz="8" w:space="0" w:color="auto"/>
            </w:tcBorders>
            <w:shd w:val="clear" w:color="000000" w:fill="F2F2F2"/>
            <w:noWrap/>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DCC</w:t>
            </w:r>
          </w:p>
        </w:tc>
        <w:tc>
          <w:tcPr>
            <w:tcW w:w="66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194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138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61 </w:t>
            </w:r>
          </w:p>
        </w:tc>
        <w:tc>
          <w:tcPr>
            <w:tcW w:w="52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19 </w:t>
            </w:r>
          </w:p>
        </w:tc>
        <w:tc>
          <w:tcPr>
            <w:tcW w:w="57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103 </w:t>
            </w:r>
          </w:p>
        </w:tc>
        <w:tc>
          <w:tcPr>
            <w:tcW w:w="80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A80DCD"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515</w:t>
            </w:r>
          </w:p>
        </w:tc>
      </w:tr>
      <w:tr w:rsidR="00A80DCD"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DCK</w:t>
            </w:r>
          </w:p>
        </w:tc>
        <w:tc>
          <w:tcPr>
            <w:tcW w:w="66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91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82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56 </w:t>
            </w:r>
          </w:p>
        </w:tc>
        <w:tc>
          <w:tcPr>
            <w:tcW w:w="52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58 </w:t>
            </w:r>
          </w:p>
        </w:tc>
        <w:tc>
          <w:tcPr>
            <w:tcW w:w="57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 </w:t>
            </w:r>
          </w:p>
        </w:tc>
        <w:tc>
          <w:tcPr>
            <w:tcW w:w="61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46 </w:t>
            </w:r>
          </w:p>
        </w:tc>
        <w:tc>
          <w:tcPr>
            <w:tcW w:w="80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 </w:t>
            </w:r>
          </w:p>
        </w:tc>
        <w:tc>
          <w:tcPr>
            <w:tcW w:w="602"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839"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351</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DCR</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114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112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84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31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20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370</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DCS</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80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74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37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24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55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42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38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350</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DFN</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67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73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150</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DJA</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103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103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60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36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38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63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403</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DKA</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157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147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85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19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15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69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492</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DKM</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123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122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50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108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29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436</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DMH</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78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54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34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41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36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243</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DMK</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101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89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48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20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35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293</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DND</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98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96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50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36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57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72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409</w:t>
            </w:r>
          </w:p>
        </w:tc>
      </w:tr>
      <w:tr w:rsidR="00A80DCD"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DNI</w:t>
            </w:r>
          </w:p>
        </w:tc>
        <w:tc>
          <w:tcPr>
            <w:tcW w:w="66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100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97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58 </w:t>
            </w:r>
          </w:p>
        </w:tc>
        <w:tc>
          <w:tcPr>
            <w:tcW w:w="52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78 </w:t>
            </w:r>
          </w:p>
        </w:tc>
        <w:tc>
          <w:tcPr>
            <w:tcW w:w="57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12 </w:t>
            </w:r>
          </w:p>
        </w:tc>
        <w:tc>
          <w:tcPr>
            <w:tcW w:w="61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 </w:t>
            </w:r>
          </w:p>
        </w:tc>
        <w:tc>
          <w:tcPr>
            <w:tcW w:w="80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42 </w:t>
            </w:r>
          </w:p>
        </w:tc>
        <w:tc>
          <w:tcPr>
            <w:tcW w:w="839"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389</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DOS</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93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80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54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41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38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306</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DPC</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77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78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45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29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231</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DPG</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107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88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52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64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34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345</w:t>
            </w:r>
          </w:p>
        </w:tc>
      </w:tr>
      <w:tr w:rsidR="00A80DCD"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DQC</w:t>
            </w:r>
          </w:p>
        </w:tc>
        <w:tc>
          <w:tcPr>
            <w:tcW w:w="66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77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70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33 </w:t>
            </w:r>
          </w:p>
        </w:tc>
        <w:tc>
          <w:tcPr>
            <w:tcW w:w="52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18 </w:t>
            </w:r>
          </w:p>
        </w:tc>
        <w:tc>
          <w:tcPr>
            <w:tcW w:w="57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19 </w:t>
            </w:r>
          </w:p>
        </w:tc>
        <w:tc>
          <w:tcPr>
            <w:tcW w:w="61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 </w:t>
            </w:r>
          </w:p>
        </w:tc>
        <w:tc>
          <w:tcPr>
            <w:tcW w:w="80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839"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221</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DQU</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100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79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41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39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40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300</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DRM</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79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55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37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23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60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264</w:t>
            </w:r>
          </w:p>
        </w:tc>
      </w:tr>
      <w:tr w:rsidR="00A80DCD"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DSC</w:t>
            </w:r>
          </w:p>
        </w:tc>
        <w:tc>
          <w:tcPr>
            <w:tcW w:w="66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117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86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72 </w:t>
            </w:r>
          </w:p>
        </w:tc>
        <w:tc>
          <w:tcPr>
            <w:tcW w:w="52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20 </w:t>
            </w:r>
          </w:p>
        </w:tc>
        <w:tc>
          <w:tcPr>
            <w:tcW w:w="57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28 </w:t>
            </w:r>
          </w:p>
        </w:tc>
        <w:tc>
          <w:tcPr>
            <w:tcW w:w="80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839"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323</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DSE</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188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139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53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86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108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574</w:t>
            </w:r>
          </w:p>
        </w:tc>
      </w:tr>
      <w:tr w:rsidR="00A80DCD"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A80DCD" w:rsidRPr="005230F9" w:rsidRDefault="00A80DCD"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DSI</w:t>
            </w:r>
          </w:p>
        </w:tc>
        <w:tc>
          <w:tcPr>
            <w:tcW w:w="66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82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68 </w:t>
            </w:r>
          </w:p>
        </w:tc>
        <w:tc>
          <w:tcPr>
            <w:tcW w:w="62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33 </w:t>
            </w:r>
          </w:p>
        </w:tc>
        <w:tc>
          <w:tcPr>
            <w:tcW w:w="52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29 </w:t>
            </w:r>
          </w:p>
        </w:tc>
        <w:tc>
          <w:tcPr>
            <w:tcW w:w="576"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 </w:t>
            </w:r>
          </w:p>
        </w:tc>
        <w:tc>
          <w:tcPr>
            <w:tcW w:w="612"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 </w:t>
            </w:r>
          </w:p>
        </w:tc>
        <w:tc>
          <w:tcPr>
            <w:tcW w:w="801" w:type="dxa"/>
            <w:tcBorders>
              <w:top w:val="nil"/>
              <w:left w:val="nil"/>
              <w:bottom w:val="single" w:sz="4" w:space="0" w:color="auto"/>
              <w:right w:val="single" w:sz="4"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839" w:type="dxa"/>
            <w:tcBorders>
              <w:top w:val="nil"/>
              <w:left w:val="nil"/>
              <w:bottom w:val="single" w:sz="4" w:space="0" w:color="auto"/>
              <w:right w:val="single" w:sz="8" w:space="0" w:color="auto"/>
            </w:tcBorders>
            <w:shd w:val="clear" w:color="auto" w:fill="auto"/>
            <w:noWrap/>
            <w:vAlign w:val="bottom"/>
            <w:hideMark/>
          </w:tcPr>
          <w:p w:rsidR="00A80DCD" w:rsidRPr="005230F9" w:rsidRDefault="00A80DCD"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220</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DSQ</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75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70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40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40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14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239</w:t>
            </w:r>
          </w:p>
        </w:tc>
      </w:tr>
      <w:tr w:rsidR="00541AEB" w:rsidRPr="00A80DCD" w:rsidTr="00541AEB">
        <w:trPr>
          <w:trHeight w:val="255"/>
          <w:jc w:val="center"/>
        </w:trPr>
        <w:tc>
          <w:tcPr>
            <w:tcW w:w="814" w:type="dxa"/>
            <w:tcBorders>
              <w:top w:val="nil"/>
              <w:left w:val="single" w:sz="8" w:space="0" w:color="auto"/>
              <w:bottom w:val="single" w:sz="4"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DSS</w:t>
            </w:r>
          </w:p>
        </w:tc>
        <w:tc>
          <w:tcPr>
            <w:tcW w:w="66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102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74 </w:t>
            </w:r>
          </w:p>
        </w:tc>
        <w:tc>
          <w:tcPr>
            <w:tcW w:w="62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49 </w:t>
            </w:r>
          </w:p>
        </w:tc>
        <w:tc>
          <w:tcPr>
            <w:tcW w:w="52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28 </w:t>
            </w:r>
          </w:p>
        </w:tc>
        <w:tc>
          <w:tcPr>
            <w:tcW w:w="576"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58 </w:t>
            </w:r>
          </w:p>
        </w:tc>
        <w:tc>
          <w:tcPr>
            <w:tcW w:w="612"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46 </w:t>
            </w:r>
          </w:p>
        </w:tc>
        <w:tc>
          <w:tcPr>
            <w:tcW w:w="801" w:type="dxa"/>
            <w:tcBorders>
              <w:top w:val="nil"/>
              <w:left w:val="nil"/>
              <w:bottom w:val="single" w:sz="4"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4"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4"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357</w:t>
            </w:r>
          </w:p>
        </w:tc>
      </w:tr>
      <w:tr w:rsidR="00541AEB" w:rsidRPr="00A80DCD" w:rsidTr="00541AEB">
        <w:trPr>
          <w:trHeight w:val="270"/>
          <w:jc w:val="center"/>
        </w:trPr>
        <w:tc>
          <w:tcPr>
            <w:tcW w:w="814" w:type="dxa"/>
            <w:tcBorders>
              <w:top w:val="nil"/>
              <w:left w:val="single" w:sz="8" w:space="0" w:color="auto"/>
              <w:bottom w:val="single" w:sz="8" w:space="0" w:color="auto"/>
              <w:right w:val="single" w:sz="8" w:space="0" w:color="auto"/>
            </w:tcBorders>
            <w:shd w:val="clear" w:color="000000" w:fill="F2F2F2"/>
            <w:noWrap/>
            <w:vAlign w:val="bottom"/>
            <w:hideMark/>
          </w:tcPr>
          <w:p w:rsidR="00541AEB" w:rsidRPr="005230F9" w:rsidRDefault="00541AEB" w:rsidP="005230F9">
            <w:pPr>
              <w:keepNext/>
              <w:keepLines/>
              <w:spacing w:after="0" w:line="240" w:lineRule="auto"/>
              <w:rPr>
                <w:rFonts w:eastAsia="Times New Roman" w:cstheme="minorHAnsi"/>
                <w:b/>
                <w:bCs/>
                <w:sz w:val="20"/>
                <w:szCs w:val="20"/>
              </w:rPr>
            </w:pPr>
            <w:r w:rsidRPr="005230F9">
              <w:rPr>
                <w:rFonts w:eastAsia="Times New Roman" w:cstheme="minorHAnsi"/>
                <w:b/>
                <w:bCs/>
                <w:sz w:val="20"/>
                <w:szCs w:val="20"/>
              </w:rPr>
              <w:t>DVA</w:t>
            </w:r>
          </w:p>
        </w:tc>
        <w:tc>
          <w:tcPr>
            <w:tcW w:w="666" w:type="dxa"/>
            <w:tcBorders>
              <w:top w:val="nil"/>
              <w:left w:val="nil"/>
              <w:bottom w:val="single" w:sz="8"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79 </w:t>
            </w:r>
          </w:p>
        </w:tc>
        <w:tc>
          <w:tcPr>
            <w:tcW w:w="622" w:type="dxa"/>
            <w:tcBorders>
              <w:top w:val="nil"/>
              <w:left w:val="nil"/>
              <w:bottom w:val="single" w:sz="8"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91 </w:t>
            </w:r>
          </w:p>
        </w:tc>
        <w:tc>
          <w:tcPr>
            <w:tcW w:w="622" w:type="dxa"/>
            <w:tcBorders>
              <w:top w:val="nil"/>
              <w:left w:val="nil"/>
              <w:bottom w:val="single" w:sz="8"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52 </w:t>
            </w:r>
          </w:p>
        </w:tc>
        <w:tc>
          <w:tcPr>
            <w:tcW w:w="521" w:type="dxa"/>
            <w:tcBorders>
              <w:top w:val="nil"/>
              <w:left w:val="nil"/>
              <w:bottom w:val="single" w:sz="8"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22 </w:t>
            </w:r>
          </w:p>
        </w:tc>
        <w:tc>
          <w:tcPr>
            <w:tcW w:w="576" w:type="dxa"/>
            <w:tcBorders>
              <w:top w:val="nil"/>
              <w:left w:val="nil"/>
              <w:bottom w:val="single" w:sz="8"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34 </w:t>
            </w:r>
          </w:p>
        </w:tc>
        <w:tc>
          <w:tcPr>
            <w:tcW w:w="612" w:type="dxa"/>
            <w:tcBorders>
              <w:top w:val="nil"/>
              <w:left w:val="nil"/>
              <w:bottom w:val="single" w:sz="8"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xml:space="preserve">47 </w:t>
            </w:r>
          </w:p>
        </w:tc>
        <w:tc>
          <w:tcPr>
            <w:tcW w:w="801" w:type="dxa"/>
            <w:tcBorders>
              <w:top w:val="nil"/>
              <w:left w:val="nil"/>
              <w:bottom w:val="single" w:sz="8" w:space="0" w:color="auto"/>
              <w:right w:val="single" w:sz="4" w:space="0" w:color="auto"/>
            </w:tcBorders>
            <w:shd w:val="clear" w:color="auto" w:fill="auto"/>
            <w:noWrap/>
            <w:vAlign w:val="bottom"/>
            <w:hideMark/>
          </w:tcPr>
          <w:p w:rsidR="00541AEB" w:rsidRPr="005230F9" w:rsidRDefault="00541AEB" w:rsidP="005230F9">
            <w:pPr>
              <w:keepNext/>
              <w:keepLines/>
              <w:spacing w:after="0" w:line="240" w:lineRule="auto"/>
              <w:jc w:val="right"/>
              <w:rPr>
                <w:rFonts w:eastAsia="Times New Roman" w:cstheme="minorHAnsi"/>
                <w:sz w:val="20"/>
                <w:szCs w:val="20"/>
              </w:rPr>
            </w:pPr>
            <w:r w:rsidRPr="005230F9">
              <w:rPr>
                <w:rFonts w:eastAsia="Times New Roman" w:cstheme="minorHAnsi"/>
                <w:sz w:val="20"/>
                <w:szCs w:val="20"/>
              </w:rPr>
              <w:t> </w:t>
            </w:r>
          </w:p>
        </w:tc>
        <w:tc>
          <w:tcPr>
            <w:tcW w:w="602" w:type="dxa"/>
            <w:tcBorders>
              <w:top w:val="nil"/>
              <w:left w:val="nil"/>
              <w:bottom w:val="single" w:sz="8" w:space="0" w:color="auto"/>
              <w:right w:val="single" w:sz="8" w:space="0" w:color="auto"/>
            </w:tcBorders>
            <w:shd w:val="clear" w:color="auto" w:fill="F2F2F2" w:themeFill="background1" w:themeFillShade="F2"/>
            <w:noWrap/>
            <w:vAlign w:val="bottom"/>
            <w:hideMark/>
          </w:tcPr>
          <w:p w:rsidR="00541AEB" w:rsidRPr="00541AEB" w:rsidRDefault="00541AEB" w:rsidP="00541AEB">
            <w:pPr>
              <w:keepNext/>
              <w:keepLines/>
              <w:spacing w:after="0" w:line="240" w:lineRule="auto"/>
              <w:jc w:val="center"/>
              <w:rPr>
                <w:rFonts w:eastAsia="Times New Roman" w:cstheme="minorHAnsi"/>
                <w:i/>
                <w:sz w:val="16"/>
                <w:szCs w:val="16"/>
              </w:rPr>
            </w:pPr>
            <w:r w:rsidRPr="00541AEB">
              <w:rPr>
                <w:rFonts w:eastAsia="Times New Roman" w:cstheme="minorHAnsi"/>
                <w:i/>
                <w:sz w:val="16"/>
                <w:szCs w:val="16"/>
              </w:rPr>
              <w:t>n/a</w:t>
            </w:r>
          </w:p>
        </w:tc>
        <w:tc>
          <w:tcPr>
            <w:tcW w:w="839" w:type="dxa"/>
            <w:tcBorders>
              <w:top w:val="nil"/>
              <w:left w:val="nil"/>
              <w:bottom w:val="single" w:sz="8" w:space="0" w:color="auto"/>
              <w:right w:val="single" w:sz="8" w:space="0" w:color="auto"/>
            </w:tcBorders>
            <w:shd w:val="clear" w:color="auto" w:fill="auto"/>
            <w:noWrap/>
            <w:vAlign w:val="bottom"/>
            <w:hideMark/>
          </w:tcPr>
          <w:p w:rsidR="00541AEB" w:rsidRPr="005230F9" w:rsidRDefault="00541AEB" w:rsidP="005230F9">
            <w:pPr>
              <w:keepNext/>
              <w:keepLines/>
              <w:spacing w:after="0" w:line="240" w:lineRule="auto"/>
              <w:jc w:val="center"/>
              <w:rPr>
                <w:rFonts w:eastAsia="Times New Roman" w:cstheme="minorHAnsi"/>
                <w:b/>
                <w:sz w:val="20"/>
                <w:szCs w:val="20"/>
              </w:rPr>
            </w:pPr>
            <w:r w:rsidRPr="005230F9">
              <w:rPr>
                <w:rFonts w:eastAsia="Times New Roman" w:cstheme="minorHAnsi"/>
                <w:b/>
                <w:sz w:val="20"/>
                <w:szCs w:val="20"/>
              </w:rPr>
              <w:t>325</w:t>
            </w:r>
          </w:p>
        </w:tc>
      </w:tr>
      <w:tr w:rsidR="00A80DCD" w:rsidRPr="00A80DCD" w:rsidTr="00E76880">
        <w:trPr>
          <w:trHeight w:val="270"/>
          <w:jc w:val="center"/>
        </w:trPr>
        <w:tc>
          <w:tcPr>
            <w:tcW w:w="814" w:type="dxa"/>
            <w:tcBorders>
              <w:top w:val="nil"/>
              <w:left w:val="single" w:sz="8" w:space="0" w:color="auto"/>
              <w:bottom w:val="single" w:sz="8" w:space="0" w:color="auto"/>
              <w:right w:val="single" w:sz="8" w:space="0" w:color="auto"/>
            </w:tcBorders>
            <w:shd w:val="clear" w:color="000000" w:fill="F2F2F2"/>
            <w:noWrap/>
            <w:vAlign w:val="bottom"/>
            <w:hideMark/>
          </w:tcPr>
          <w:p w:rsidR="00A80DCD" w:rsidRPr="005230F9" w:rsidRDefault="00A80DCD" w:rsidP="005230F9">
            <w:pPr>
              <w:spacing w:after="0" w:line="240" w:lineRule="auto"/>
              <w:rPr>
                <w:rFonts w:eastAsia="Times New Roman" w:cstheme="minorHAnsi"/>
                <w:b/>
                <w:bCs/>
                <w:sz w:val="20"/>
                <w:szCs w:val="20"/>
              </w:rPr>
            </w:pPr>
            <w:r w:rsidRPr="005230F9">
              <w:rPr>
                <w:rFonts w:eastAsia="Times New Roman" w:cstheme="minorHAnsi"/>
                <w:b/>
                <w:bCs/>
                <w:sz w:val="20"/>
                <w:szCs w:val="20"/>
              </w:rPr>
              <w:t>Value Total</w:t>
            </w:r>
          </w:p>
        </w:tc>
        <w:tc>
          <w:tcPr>
            <w:tcW w:w="666" w:type="dxa"/>
            <w:tcBorders>
              <w:top w:val="nil"/>
              <w:left w:val="nil"/>
              <w:bottom w:val="single" w:sz="8" w:space="0" w:color="auto"/>
              <w:right w:val="single" w:sz="4"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2482</w:t>
            </w:r>
          </w:p>
        </w:tc>
        <w:tc>
          <w:tcPr>
            <w:tcW w:w="622" w:type="dxa"/>
            <w:tcBorders>
              <w:top w:val="nil"/>
              <w:left w:val="nil"/>
              <w:bottom w:val="single" w:sz="8" w:space="0" w:color="auto"/>
              <w:right w:val="single" w:sz="4"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2165</w:t>
            </w:r>
          </w:p>
        </w:tc>
        <w:tc>
          <w:tcPr>
            <w:tcW w:w="622" w:type="dxa"/>
            <w:tcBorders>
              <w:top w:val="nil"/>
              <w:left w:val="nil"/>
              <w:bottom w:val="single" w:sz="8" w:space="0" w:color="auto"/>
              <w:right w:val="single" w:sz="4"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1185</w:t>
            </w:r>
          </w:p>
        </w:tc>
        <w:tc>
          <w:tcPr>
            <w:tcW w:w="521" w:type="dxa"/>
            <w:tcBorders>
              <w:top w:val="nil"/>
              <w:left w:val="nil"/>
              <w:bottom w:val="single" w:sz="8" w:space="0" w:color="auto"/>
              <w:right w:val="single" w:sz="4"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890</w:t>
            </w:r>
          </w:p>
        </w:tc>
        <w:tc>
          <w:tcPr>
            <w:tcW w:w="576" w:type="dxa"/>
            <w:tcBorders>
              <w:top w:val="nil"/>
              <w:left w:val="nil"/>
              <w:bottom w:val="single" w:sz="8" w:space="0" w:color="auto"/>
              <w:right w:val="single" w:sz="4"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379</w:t>
            </w:r>
          </w:p>
        </w:tc>
        <w:tc>
          <w:tcPr>
            <w:tcW w:w="612" w:type="dxa"/>
            <w:tcBorders>
              <w:top w:val="nil"/>
              <w:left w:val="nil"/>
              <w:bottom w:val="single" w:sz="8" w:space="0" w:color="auto"/>
              <w:right w:val="single" w:sz="4"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914</w:t>
            </w:r>
          </w:p>
        </w:tc>
        <w:tc>
          <w:tcPr>
            <w:tcW w:w="801" w:type="dxa"/>
            <w:tcBorders>
              <w:top w:val="nil"/>
              <w:left w:val="nil"/>
              <w:bottom w:val="single" w:sz="8" w:space="0" w:color="auto"/>
              <w:right w:val="single" w:sz="4"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49</w:t>
            </w:r>
          </w:p>
        </w:tc>
        <w:tc>
          <w:tcPr>
            <w:tcW w:w="602" w:type="dxa"/>
            <w:tcBorders>
              <w:top w:val="nil"/>
              <w:left w:val="nil"/>
              <w:bottom w:val="single" w:sz="8" w:space="0" w:color="auto"/>
              <w:right w:val="single" w:sz="8" w:space="0" w:color="auto"/>
            </w:tcBorders>
            <w:shd w:val="clear" w:color="auto" w:fill="auto"/>
            <w:noWrap/>
            <w:vAlign w:val="center"/>
            <w:hideMark/>
          </w:tcPr>
          <w:p w:rsidR="00A80DCD" w:rsidRPr="005230F9" w:rsidRDefault="00A80DCD" w:rsidP="005230F9">
            <w:pPr>
              <w:spacing w:after="0" w:line="240" w:lineRule="auto"/>
              <w:jc w:val="right"/>
              <w:rPr>
                <w:rFonts w:eastAsia="Times New Roman" w:cstheme="minorHAnsi"/>
                <w:b/>
                <w:sz w:val="20"/>
                <w:szCs w:val="20"/>
              </w:rPr>
            </w:pPr>
            <w:r w:rsidRPr="005230F9">
              <w:rPr>
                <w:rFonts w:eastAsia="Times New Roman" w:cstheme="minorHAnsi"/>
                <w:b/>
                <w:sz w:val="20"/>
                <w:szCs w:val="20"/>
              </w:rPr>
              <w:t>42</w:t>
            </w:r>
          </w:p>
        </w:tc>
        <w:tc>
          <w:tcPr>
            <w:tcW w:w="839" w:type="dxa"/>
            <w:tcBorders>
              <w:top w:val="nil"/>
              <w:left w:val="nil"/>
              <w:bottom w:val="single" w:sz="8" w:space="0" w:color="auto"/>
              <w:right w:val="single" w:sz="8" w:space="0" w:color="auto"/>
            </w:tcBorders>
            <w:shd w:val="clear" w:color="auto" w:fill="auto"/>
            <w:noWrap/>
            <w:vAlign w:val="center"/>
            <w:hideMark/>
          </w:tcPr>
          <w:p w:rsidR="00A80DCD" w:rsidRPr="005230F9" w:rsidRDefault="00A80DCD" w:rsidP="005230F9">
            <w:pPr>
              <w:spacing w:after="0" w:line="240" w:lineRule="auto"/>
              <w:jc w:val="center"/>
              <w:rPr>
                <w:rFonts w:eastAsia="Times New Roman" w:cstheme="minorHAnsi"/>
                <w:b/>
                <w:sz w:val="20"/>
                <w:szCs w:val="20"/>
              </w:rPr>
            </w:pPr>
            <w:r w:rsidRPr="005230F9">
              <w:rPr>
                <w:rFonts w:eastAsia="Times New Roman" w:cstheme="minorHAnsi"/>
                <w:b/>
                <w:sz w:val="20"/>
                <w:szCs w:val="20"/>
              </w:rPr>
              <w:t>8106</w:t>
            </w:r>
          </w:p>
        </w:tc>
      </w:tr>
    </w:tbl>
    <w:p w:rsidR="00665F1B" w:rsidRPr="00A80DCD" w:rsidRDefault="00A80DCD" w:rsidP="00932C3C">
      <w:pPr>
        <w:rPr>
          <w:rFonts w:ascii="Arial Narrow" w:hAnsi="Arial Narrow"/>
          <w:sz w:val="18"/>
        </w:rPr>
      </w:pPr>
      <w:r>
        <w:rPr>
          <w:rFonts w:ascii="Arial Narrow" w:hAnsi="Arial Narrow"/>
          <w:sz w:val="18"/>
        </w:rPr>
        <w:t>SLBD = stand-level biodiversity, Rip = riparian, WQ = water quality, VQ = visual quality, CHR = cultural heritage resources, SDM = stand development monitoring.</w:t>
      </w:r>
      <w:r w:rsidR="008B7DB2">
        <w:rPr>
          <w:rFonts w:ascii="Arial Narrow" w:hAnsi="Arial Narrow"/>
          <w:sz w:val="18"/>
        </w:rPr>
        <w:t xml:space="preserve"> FREP also includes monitoring for three additional values that are not included in the above table, including soils, range, and recreation.</w:t>
      </w:r>
    </w:p>
    <w:p w:rsidR="0022285C" w:rsidRDefault="008B4AC5" w:rsidP="002B118C">
      <w:pPr>
        <w:pStyle w:val="SubHead1"/>
      </w:pPr>
      <w:r>
        <w:t>P</w:t>
      </w:r>
      <w:r w:rsidR="00D944B1">
        <w:t>ost-stratification</w:t>
      </w:r>
    </w:p>
    <w:p w:rsidR="00D944B1" w:rsidRDefault="00D944B1" w:rsidP="00932C3C">
      <w:r>
        <w:t>One of the significant strengths of data collected in a design with minimal stratification</w:t>
      </w:r>
      <w:r>
        <w:rPr>
          <w:rStyle w:val="FootnoteReference"/>
        </w:rPr>
        <w:footnoteReference w:id="2"/>
      </w:r>
      <w:r>
        <w:t xml:space="preserve">  using simple </w:t>
      </w:r>
      <w:r w:rsidR="009B2EB3">
        <w:t>random selection is the ability to easily post-stratify the data to perform analyses on strata of interest. Post-stratification becomes increasingly complex for data from sampling designs that have additional pre-stratification. Limiting the stratification in the sampling design maintains flexibility for subsequent analyses, whereas optimizing the design for questions about one type of strata (e.g., stream class, block size) might be at the expense of being able to perform post-stratification analyses to address questions about another type of strata (e.g., elevation, licensee size).</w:t>
      </w:r>
      <w:r w:rsidR="008B4AC5">
        <w:t xml:space="preserve"> </w:t>
      </w:r>
      <w:r w:rsidR="00B01F0B">
        <w:t>T</w:t>
      </w:r>
      <w:r w:rsidR="008B4AC5">
        <w:t xml:space="preserve">echnical details </w:t>
      </w:r>
      <w:r w:rsidR="00B01F0B">
        <w:t>associated with</w:t>
      </w:r>
      <w:r w:rsidR="008B4AC5">
        <w:t xml:space="preserve"> post-stratification are described more fully in</w:t>
      </w:r>
      <w:r w:rsidR="000417AC">
        <w:t xml:space="preserve"> Cochran </w:t>
      </w:r>
      <w:r w:rsidR="00B430B6">
        <w:t>(</w:t>
      </w:r>
      <w:r w:rsidR="000417AC">
        <w:t>1977</w:t>
      </w:r>
      <w:r w:rsidR="00B430B6">
        <w:t xml:space="preserve">), </w:t>
      </w:r>
      <w:proofErr w:type="spellStart"/>
      <w:r w:rsidR="000417AC">
        <w:t>Lohr</w:t>
      </w:r>
      <w:proofErr w:type="spellEnd"/>
      <w:r w:rsidR="000417AC">
        <w:t xml:space="preserve"> </w:t>
      </w:r>
      <w:r w:rsidR="00B430B6">
        <w:t>(</w:t>
      </w:r>
      <w:r w:rsidR="000417AC">
        <w:t>1999</w:t>
      </w:r>
      <w:r w:rsidR="00B430B6">
        <w:t>), and</w:t>
      </w:r>
      <w:r w:rsidR="000417AC">
        <w:t xml:space="preserve"> Thompson </w:t>
      </w:r>
      <w:r w:rsidR="00B430B6">
        <w:t>(</w:t>
      </w:r>
      <w:r w:rsidR="000417AC">
        <w:t>2002</w:t>
      </w:r>
      <w:r w:rsidR="00B430B6">
        <w:t>)</w:t>
      </w:r>
      <w:r w:rsidR="000417AC">
        <w:t>.</w:t>
      </w:r>
    </w:p>
    <w:p w:rsidR="0012585A" w:rsidRDefault="00183085">
      <w:r>
        <w:lastRenderedPageBreak/>
        <w:t xml:space="preserve">For example, suppose we take a stratified random sample from districts in the province, but after the fact, we decide we are interested in stream health in </w:t>
      </w:r>
      <w:proofErr w:type="spellStart"/>
      <w:r>
        <w:t>cutblocks</w:t>
      </w:r>
      <w:proofErr w:type="spellEnd"/>
      <w:r>
        <w:t xml:space="preserve"> as a function of stream size class. We would then post-stratify the analysis by stream class. An example of such a post-stratification analysis for district DSC is shown in </w:t>
      </w:r>
      <w:r w:rsidR="006255EF">
        <w:fldChar w:fldCharType="begin"/>
      </w:r>
      <w:r w:rsidR="006255EF">
        <w:instrText xml:space="preserve"> REF _Ref438210846 \h  \* MERGEFORMAT </w:instrText>
      </w:r>
      <w:r w:rsidR="006255EF">
        <w:fldChar w:fldCharType="separate"/>
      </w:r>
      <w:r>
        <w:t>Figure 5</w:t>
      </w:r>
      <w:r w:rsidR="006255EF">
        <w:fldChar w:fldCharType="end"/>
      </w:r>
      <w:r>
        <w:t>.</w:t>
      </w:r>
    </w:p>
    <w:p w:rsidR="00183085" w:rsidRDefault="00183085" w:rsidP="00183085">
      <w:pPr>
        <w:jc w:val="center"/>
      </w:pPr>
      <w:r>
        <w:rPr>
          <w:noProof/>
        </w:rPr>
        <w:drawing>
          <wp:inline distT="0" distB="0" distL="0" distR="0" wp14:anchorId="5B43722E" wp14:editId="4580239B">
            <wp:extent cx="4123944" cy="274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4123944" cy="2743200"/>
                    </a:xfrm>
                    <a:prstGeom prst="rect">
                      <a:avLst/>
                    </a:prstGeom>
                  </pic:spPr>
                </pic:pic>
              </a:graphicData>
            </a:graphic>
          </wp:inline>
        </w:drawing>
      </w:r>
    </w:p>
    <w:p w:rsidR="00183085" w:rsidRDefault="00183085" w:rsidP="00183085">
      <w:pPr>
        <w:pStyle w:val="Caption"/>
        <w:rPr>
          <w:rFonts w:ascii="CMR10" w:hAnsi="CMR10" w:cs="CMR10"/>
          <w:sz w:val="20"/>
          <w:szCs w:val="20"/>
        </w:rPr>
      </w:pPr>
      <w:bookmarkStart w:id="12" w:name="_Ref438210846"/>
      <w:proofErr w:type="gramStart"/>
      <w:r>
        <w:t xml:space="preserve">Figure </w:t>
      </w:r>
      <w:r w:rsidR="00495B9B">
        <w:fldChar w:fldCharType="begin"/>
      </w:r>
      <w:r>
        <w:instrText xml:space="preserve"> SEQ Figure \* ARABIC </w:instrText>
      </w:r>
      <w:r w:rsidR="00495B9B">
        <w:fldChar w:fldCharType="separate"/>
      </w:r>
      <w:r>
        <w:rPr>
          <w:noProof/>
        </w:rPr>
        <w:t>5</w:t>
      </w:r>
      <w:r w:rsidR="00495B9B">
        <w:rPr>
          <w:noProof/>
        </w:rPr>
        <w:fldChar w:fldCharType="end"/>
      </w:r>
      <w:bookmarkEnd w:id="12"/>
      <w:r>
        <w:t>.</w:t>
      </w:r>
      <w:proofErr w:type="gramEnd"/>
      <w:r>
        <w:tab/>
        <w:t xml:space="preserve">Estimate of Number of NOs within a district using Post-stratification of Stream Class (district selected: “DSC”). The </w:t>
      </w:r>
      <w:proofErr w:type="gramStart"/>
      <w:r>
        <w:t>number of samples within each stream class are</w:t>
      </w:r>
      <w:proofErr w:type="gramEnd"/>
      <w:r>
        <w:t xml:space="preserve"> shown above the graph.</w:t>
      </w:r>
    </w:p>
    <w:p w:rsidR="00183085" w:rsidRPr="00D944B1" w:rsidRDefault="00183085" w:rsidP="00932C3C"/>
    <w:p w:rsidR="00B01F0B" w:rsidRDefault="00A3119D" w:rsidP="00B01F0B">
      <w:pPr>
        <w:pStyle w:val="SubHead1"/>
      </w:pPr>
      <w:r>
        <w:t>Existing a</w:t>
      </w:r>
      <w:r w:rsidR="00DD2AEE">
        <w:t xml:space="preserve">nalyses </w:t>
      </w:r>
      <w:r>
        <w:t>within FREP</w:t>
      </w:r>
      <w:r w:rsidR="00DD2AEE">
        <w:t xml:space="preserve"> </w:t>
      </w:r>
      <w:r w:rsidR="00B01F0B">
        <w:t>program</w:t>
      </w:r>
    </w:p>
    <w:p w:rsidR="00071122" w:rsidRPr="00071122" w:rsidRDefault="00884997" w:rsidP="00071122">
      <w:pPr>
        <w:rPr>
          <w:color w:val="1F497D"/>
          <w:lang w:val="en-CA"/>
        </w:rPr>
      </w:pPr>
      <w:r>
        <w:t>The FREP program itself has performed a wide diversity of analyses with the monitoring data that has been collected</w:t>
      </w:r>
      <w:r w:rsidR="00071122">
        <w:t>, as exemplified in the FREP Report series</w:t>
      </w:r>
      <w:r w:rsidR="00071122">
        <w:rPr>
          <w:rStyle w:val="FootnoteReference"/>
        </w:rPr>
        <w:footnoteReference w:id="3"/>
      </w:r>
      <w:r w:rsidR="00071122">
        <w:t>. Other analyses of the FREP monitoring data are also demonstrated in some of the FREP Extension Notes. Additionally, substantial post-processing of the monitoring data is conducted to generate the Multiple Resource Value Assessment (MRVA) Reports</w:t>
      </w:r>
      <w:r w:rsidR="00071122">
        <w:rPr>
          <w:rStyle w:val="FootnoteReference"/>
        </w:rPr>
        <w:footnoteReference w:id="4"/>
      </w:r>
      <w:r w:rsidR="00071122">
        <w:t xml:space="preserve"> for each of the districts and/or Timber Supply Areas.</w:t>
      </w:r>
    </w:p>
    <w:p w:rsidR="0022285C" w:rsidRDefault="00A3119D" w:rsidP="002B118C">
      <w:pPr>
        <w:pStyle w:val="SubHead1"/>
      </w:pPr>
      <w:r>
        <w:t>Future data exploration and analyses of</w:t>
      </w:r>
      <w:r w:rsidR="00611EDF">
        <w:t xml:space="preserve"> </w:t>
      </w:r>
      <w:r w:rsidR="0022285C" w:rsidRPr="00932C3C">
        <w:t xml:space="preserve">existing </w:t>
      </w:r>
      <w:r w:rsidR="00611EDF">
        <w:t xml:space="preserve">FREP </w:t>
      </w:r>
      <w:r w:rsidR="0022285C" w:rsidRPr="00932C3C">
        <w:t>data</w:t>
      </w:r>
    </w:p>
    <w:p w:rsidR="00DD2AEE" w:rsidRDefault="00611EDF" w:rsidP="00932C3C">
      <w:r>
        <w:t xml:space="preserve">The data set </w:t>
      </w:r>
      <w:r w:rsidR="008767AB">
        <w:t xml:space="preserve">for the core FREP values </w:t>
      </w:r>
      <w:r>
        <w:t xml:space="preserve">(see </w:t>
      </w:r>
      <w:r w:rsidR="00495B9B">
        <w:fldChar w:fldCharType="begin"/>
      </w:r>
      <w:r>
        <w:instrText xml:space="preserve"> REF _Ref436839359 \h </w:instrText>
      </w:r>
      <w:r w:rsidR="00495B9B">
        <w:fldChar w:fldCharType="separate"/>
      </w:r>
      <w:r w:rsidR="005E13E6">
        <w:t xml:space="preserve">Table </w:t>
      </w:r>
      <w:r w:rsidR="005E13E6">
        <w:rPr>
          <w:noProof/>
        </w:rPr>
        <w:t>1</w:t>
      </w:r>
      <w:r w:rsidR="00495B9B">
        <w:fldChar w:fldCharType="end"/>
      </w:r>
      <w:r>
        <w:t xml:space="preserve">) currently includes 8106 </w:t>
      </w:r>
      <w:r w:rsidR="00921521">
        <w:t xml:space="preserve">sampled </w:t>
      </w:r>
      <w:proofErr w:type="spellStart"/>
      <w:r>
        <w:t>cutblocks</w:t>
      </w:r>
      <w:proofErr w:type="spellEnd"/>
      <w:r w:rsidR="008767AB">
        <w:rPr>
          <w:rStyle w:val="FootnoteReference"/>
        </w:rPr>
        <w:footnoteReference w:id="5"/>
      </w:r>
      <w:r w:rsidR="00921521">
        <w:t xml:space="preserve"> in </w:t>
      </w:r>
      <w:r>
        <w:t>24 districts</w:t>
      </w:r>
      <w:r w:rsidR="00921521">
        <w:t xml:space="preserve">, spanning </w:t>
      </w:r>
      <w:r>
        <w:t xml:space="preserve">10 years </w:t>
      </w:r>
      <w:r w:rsidR="00921521">
        <w:t xml:space="preserve">of data collection </w:t>
      </w:r>
      <w:r>
        <w:t xml:space="preserve">across </w:t>
      </w:r>
      <w:r w:rsidR="008767AB">
        <w:t>8</w:t>
      </w:r>
      <w:r>
        <w:t xml:space="preserve"> natura</w:t>
      </w:r>
      <w:r w:rsidR="00921521">
        <w:t>l resource values. Although the level of coverage is variable across years, districts, and values, it represents a tremendously rich dataset nonetheless. Given its robust statistical design, stratified only by district and providing unbiased district estimates of performance measures, the</w:t>
      </w:r>
      <w:r w:rsidR="00CF5638">
        <w:t>re are almost endless ways in which the data could be further analyzed or explored.</w:t>
      </w:r>
      <w:r w:rsidR="00DD2AEE">
        <w:t xml:space="preserve"> </w:t>
      </w:r>
      <w:r w:rsidR="00A3119D">
        <w:t>Below are presented some preliminary ideas on areas for potential exploration, both generic and specific.</w:t>
      </w:r>
    </w:p>
    <w:p w:rsidR="00A3119D" w:rsidRPr="00A3119D" w:rsidRDefault="00A3119D" w:rsidP="002B118C">
      <w:pPr>
        <w:pStyle w:val="SubHead2"/>
      </w:pPr>
      <w:r w:rsidRPr="00A3119D">
        <w:lastRenderedPageBreak/>
        <w:t>General potential for data mining</w:t>
      </w:r>
    </w:p>
    <w:p w:rsidR="00DD2AEE" w:rsidRDefault="00A3119D" w:rsidP="00932C3C">
      <w:r>
        <w:t xml:space="preserve">A recurring theme in the workshop was the sentiment that “we have barely scratched the surface” in terms of the potential information and understanding that could be extracted from the FREP data. Exploring and mining the data could easily occupy the time of </w:t>
      </w:r>
      <w:r w:rsidR="000417AC">
        <w:t xml:space="preserve">a </w:t>
      </w:r>
      <w:r>
        <w:t xml:space="preserve">full-time analyst. </w:t>
      </w:r>
      <w:r w:rsidR="000417AC">
        <w:t>The existing data could also support theses for</w:t>
      </w:r>
      <w:r>
        <w:t xml:space="preserve"> multiple Master students</w:t>
      </w:r>
      <w:r w:rsidR="000417AC">
        <w:t xml:space="preserve"> which would be a cost effective way to leverage the existing data</w:t>
      </w:r>
      <w:r>
        <w:t>.</w:t>
      </w:r>
      <w:r w:rsidR="000417AC">
        <w:t xml:space="preserve"> Several potential examples are discussed later in this section.</w:t>
      </w:r>
    </w:p>
    <w:p w:rsidR="008B5315" w:rsidRDefault="008B5315" w:rsidP="002B118C">
      <w:pPr>
        <w:pStyle w:val="SubHead2"/>
      </w:pPr>
      <w:r w:rsidRPr="00A3119D">
        <w:t>Analyses suggested in workshop</w:t>
      </w:r>
    </w:p>
    <w:p w:rsidR="00A911A6" w:rsidRDefault="00A911A6" w:rsidP="00A3119D">
      <w:r>
        <w:t xml:space="preserve">A variety of potential post-stratification analyses were raised during the workshop. One stratification variable was stream class, which </w:t>
      </w:r>
      <w:r w:rsidR="007D1E18">
        <w:t>is</w:t>
      </w:r>
      <w:r>
        <w:t xml:space="preserve"> shown in a simple example </w:t>
      </w:r>
      <w:r w:rsidR="008E6E1B">
        <w:t xml:space="preserve">for one district </w:t>
      </w:r>
      <w:r w:rsidR="00A90334">
        <w:t>above</w:t>
      </w:r>
      <w:r w:rsidR="008E6E1B">
        <w:t>. These</w:t>
      </w:r>
      <w:r>
        <w:t xml:space="preserve"> analyses could be </w:t>
      </w:r>
      <w:r w:rsidR="008E6E1B">
        <w:t>performed</w:t>
      </w:r>
      <w:r>
        <w:t xml:space="preserve"> at a district scale</w:t>
      </w:r>
      <w:r w:rsidR="008E6E1B">
        <w:t xml:space="preserve"> or provincial scale.</w:t>
      </w:r>
    </w:p>
    <w:p w:rsidR="00A9519E" w:rsidRDefault="00A9519E" w:rsidP="00A9519E">
      <w:r>
        <w:t xml:space="preserve">Feedback through both the survey and workshop demonstrated that there is a strong interest to explore the condition of different values by BEC zone (i.e., BEC Zone, BEC Subzone, or BEC Variant depending on the context), either across the range or focusing within particular zones. </w:t>
      </w:r>
      <w:r w:rsidR="00BD734A">
        <w:t xml:space="preserve">For the stand-level biodiversity value, BEC classification information is already included in the data. </w:t>
      </w:r>
      <w:r w:rsidR="00495B9B">
        <w:fldChar w:fldCharType="begin"/>
      </w:r>
      <w:r w:rsidR="00A911A6">
        <w:instrText xml:space="preserve"> REF _Ref437347512 \h </w:instrText>
      </w:r>
      <w:r w:rsidR="00495B9B">
        <w:fldChar w:fldCharType="separate"/>
      </w:r>
      <w:r w:rsidR="005E13E6">
        <w:t xml:space="preserve">Table </w:t>
      </w:r>
      <w:r w:rsidR="005E13E6">
        <w:rPr>
          <w:noProof/>
        </w:rPr>
        <w:t>2</w:t>
      </w:r>
      <w:r w:rsidR="00495B9B">
        <w:fldChar w:fldCharType="end"/>
      </w:r>
      <w:r w:rsidR="00A911A6">
        <w:t xml:space="preserve"> shows</w:t>
      </w:r>
      <w:r w:rsidR="00BD33B2">
        <w:t xml:space="preserve"> how many BEC zones have sample data for the stand-level biodiversity data and how many zones have &gt;10 or &gt;20 samples. </w:t>
      </w:r>
    </w:p>
    <w:p w:rsidR="00A911A6" w:rsidRDefault="00A911A6" w:rsidP="00A911A6">
      <w:pPr>
        <w:pStyle w:val="Caption"/>
        <w:keepNext/>
      </w:pPr>
      <w:bookmarkStart w:id="13" w:name="_Ref437347512"/>
      <w:proofErr w:type="gramStart"/>
      <w:r>
        <w:t xml:space="preserve">Table </w:t>
      </w:r>
      <w:r w:rsidR="00495B9B">
        <w:fldChar w:fldCharType="begin"/>
      </w:r>
      <w:r w:rsidR="002F6AE4">
        <w:instrText xml:space="preserve"> SEQ Table \* ARABIC </w:instrText>
      </w:r>
      <w:r w:rsidR="00495B9B">
        <w:fldChar w:fldCharType="separate"/>
      </w:r>
      <w:r w:rsidR="005E13E6">
        <w:rPr>
          <w:noProof/>
        </w:rPr>
        <w:t>2</w:t>
      </w:r>
      <w:r w:rsidR="00495B9B">
        <w:rPr>
          <w:noProof/>
        </w:rPr>
        <w:fldChar w:fldCharType="end"/>
      </w:r>
      <w:bookmarkEnd w:id="13"/>
      <w:r w:rsidR="00546F9F">
        <w:t>.</w:t>
      </w:r>
      <w:proofErr w:type="gramEnd"/>
      <w:r w:rsidR="00546F9F">
        <w:tab/>
      </w:r>
      <w:proofErr w:type="gramStart"/>
      <w:r>
        <w:t xml:space="preserve">Number of BEC Zones, Subzones and Variants with greater than X </w:t>
      </w:r>
      <w:proofErr w:type="spellStart"/>
      <w:r>
        <w:t>cutblock</w:t>
      </w:r>
      <w:proofErr w:type="spellEnd"/>
      <w:r>
        <w:t xml:space="preserve"> samples for the stand-level biodiversity value.</w:t>
      </w:r>
      <w:proofErr w:type="gramEnd"/>
      <w:r>
        <w:t xml:space="preserve"> For example, there are 42 BEC Subzones that have greater than 10 </w:t>
      </w:r>
      <w:proofErr w:type="spellStart"/>
      <w:r>
        <w:t>cutblock</w:t>
      </w:r>
      <w:proofErr w:type="spellEnd"/>
      <w:r>
        <w:t xml:space="preserve"> samples.</w:t>
      </w:r>
    </w:p>
    <w:tbl>
      <w:tblPr>
        <w:tblStyle w:val="TableGrid"/>
        <w:tblW w:w="0" w:type="auto"/>
        <w:jc w:val="center"/>
        <w:tblLook w:val="04A0" w:firstRow="1" w:lastRow="0" w:firstColumn="1" w:lastColumn="0" w:noHBand="0" w:noVBand="1"/>
      </w:tblPr>
      <w:tblGrid>
        <w:gridCol w:w="1458"/>
        <w:gridCol w:w="1260"/>
        <w:gridCol w:w="1350"/>
        <w:gridCol w:w="1350"/>
      </w:tblGrid>
      <w:tr w:rsidR="00A9519E" w:rsidRPr="005A36BB" w:rsidTr="00E76880">
        <w:trPr>
          <w:jc w:val="center"/>
        </w:trPr>
        <w:tc>
          <w:tcPr>
            <w:tcW w:w="1458" w:type="dxa"/>
            <w:shd w:val="clear" w:color="auto" w:fill="BFBFBF" w:themeFill="background1" w:themeFillShade="BF"/>
          </w:tcPr>
          <w:p w:rsidR="00A9519E" w:rsidRPr="00E76880" w:rsidRDefault="00A9519E" w:rsidP="00286E4C">
            <w:pPr>
              <w:keepNext/>
              <w:rPr>
                <w:b/>
                <w:sz w:val="20"/>
              </w:rPr>
            </w:pPr>
          </w:p>
        </w:tc>
        <w:tc>
          <w:tcPr>
            <w:tcW w:w="1260" w:type="dxa"/>
            <w:shd w:val="clear" w:color="auto" w:fill="BFBFBF" w:themeFill="background1" w:themeFillShade="BF"/>
          </w:tcPr>
          <w:p w:rsidR="00A9519E" w:rsidRPr="00E76880" w:rsidRDefault="00A9519E" w:rsidP="00286E4C">
            <w:pPr>
              <w:keepNext/>
              <w:rPr>
                <w:b/>
                <w:sz w:val="20"/>
              </w:rPr>
            </w:pPr>
            <w:r w:rsidRPr="00E76880">
              <w:rPr>
                <w:b/>
                <w:sz w:val="20"/>
              </w:rPr>
              <w:t>Count with &gt;0 samples</w:t>
            </w:r>
          </w:p>
        </w:tc>
        <w:tc>
          <w:tcPr>
            <w:tcW w:w="1350" w:type="dxa"/>
            <w:shd w:val="clear" w:color="auto" w:fill="BFBFBF" w:themeFill="background1" w:themeFillShade="BF"/>
          </w:tcPr>
          <w:p w:rsidR="00A9519E" w:rsidRPr="00E76880" w:rsidRDefault="00A9519E" w:rsidP="00286E4C">
            <w:pPr>
              <w:keepNext/>
              <w:rPr>
                <w:b/>
                <w:sz w:val="20"/>
              </w:rPr>
            </w:pPr>
            <w:r w:rsidRPr="00E76880">
              <w:rPr>
                <w:b/>
                <w:sz w:val="20"/>
              </w:rPr>
              <w:t>Count with &gt;10 samples</w:t>
            </w:r>
          </w:p>
        </w:tc>
        <w:tc>
          <w:tcPr>
            <w:tcW w:w="1350" w:type="dxa"/>
            <w:shd w:val="clear" w:color="auto" w:fill="BFBFBF" w:themeFill="background1" w:themeFillShade="BF"/>
          </w:tcPr>
          <w:p w:rsidR="00A9519E" w:rsidRPr="00E76880" w:rsidRDefault="00A9519E" w:rsidP="00286E4C">
            <w:pPr>
              <w:keepNext/>
              <w:rPr>
                <w:b/>
                <w:sz w:val="20"/>
              </w:rPr>
            </w:pPr>
            <w:r w:rsidRPr="00E76880">
              <w:rPr>
                <w:b/>
                <w:sz w:val="20"/>
              </w:rPr>
              <w:t>Count with &gt;20 samples</w:t>
            </w:r>
          </w:p>
        </w:tc>
      </w:tr>
      <w:tr w:rsidR="00A9519E" w:rsidTr="00E76880">
        <w:trPr>
          <w:jc w:val="center"/>
        </w:trPr>
        <w:tc>
          <w:tcPr>
            <w:tcW w:w="1458" w:type="dxa"/>
            <w:shd w:val="clear" w:color="auto" w:fill="BFBFBF" w:themeFill="background1" w:themeFillShade="BF"/>
          </w:tcPr>
          <w:p w:rsidR="00A9519E" w:rsidRPr="00E76880" w:rsidRDefault="00A9519E" w:rsidP="00286E4C">
            <w:pPr>
              <w:keepNext/>
              <w:rPr>
                <w:b/>
                <w:sz w:val="20"/>
              </w:rPr>
            </w:pPr>
            <w:r w:rsidRPr="00E76880">
              <w:rPr>
                <w:b/>
                <w:sz w:val="20"/>
              </w:rPr>
              <w:t>BEC Zone</w:t>
            </w:r>
          </w:p>
        </w:tc>
        <w:tc>
          <w:tcPr>
            <w:tcW w:w="1260" w:type="dxa"/>
          </w:tcPr>
          <w:p w:rsidR="00A9519E" w:rsidRPr="00E76880" w:rsidRDefault="00A9519E" w:rsidP="00286E4C">
            <w:pPr>
              <w:keepNext/>
              <w:jc w:val="center"/>
              <w:rPr>
                <w:sz w:val="20"/>
              </w:rPr>
            </w:pPr>
            <w:r w:rsidRPr="00E76880">
              <w:rPr>
                <w:sz w:val="20"/>
              </w:rPr>
              <w:t>11</w:t>
            </w:r>
          </w:p>
        </w:tc>
        <w:tc>
          <w:tcPr>
            <w:tcW w:w="1350" w:type="dxa"/>
          </w:tcPr>
          <w:p w:rsidR="00A9519E" w:rsidRPr="00E76880" w:rsidRDefault="00A9519E" w:rsidP="00286E4C">
            <w:pPr>
              <w:keepNext/>
              <w:jc w:val="center"/>
              <w:rPr>
                <w:sz w:val="20"/>
              </w:rPr>
            </w:pPr>
            <w:r w:rsidRPr="00E76880">
              <w:rPr>
                <w:sz w:val="20"/>
              </w:rPr>
              <w:t>9</w:t>
            </w:r>
          </w:p>
        </w:tc>
        <w:tc>
          <w:tcPr>
            <w:tcW w:w="1350" w:type="dxa"/>
          </w:tcPr>
          <w:p w:rsidR="00A9519E" w:rsidRPr="00E76880" w:rsidRDefault="00A9519E" w:rsidP="00286E4C">
            <w:pPr>
              <w:keepNext/>
              <w:jc w:val="center"/>
              <w:rPr>
                <w:sz w:val="20"/>
              </w:rPr>
            </w:pPr>
            <w:r w:rsidRPr="00E76880">
              <w:rPr>
                <w:sz w:val="20"/>
              </w:rPr>
              <w:t>8</w:t>
            </w:r>
          </w:p>
        </w:tc>
      </w:tr>
      <w:tr w:rsidR="00A9519E" w:rsidTr="00E76880">
        <w:trPr>
          <w:jc w:val="center"/>
        </w:trPr>
        <w:tc>
          <w:tcPr>
            <w:tcW w:w="1458" w:type="dxa"/>
            <w:shd w:val="clear" w:color="auto" w:fill="BFBFBF" w:themeFill="background1" w:themeFillShade="BF"/>
          </w:tcPr>
          <w:p w:rsidR="00A9519E" w:rsidRPr="00E76880" w:rsidRDefault="00A9519E" w:rsidP="00286E4C">
            <w:pPr>
              <w:keepNext/>
              <w:rPr>
                <w:b/>
                <w:sz w:val="20"/>
              </w:rPr>
            </w:pPr>
            <w:r w:rsidRPr="00E76880">
              <w:rPr>
                <w:b/>
                <w:sz w:val="20"/>
              </w:rPr>
              <w:t>BEC Subzone</w:t>
            </w:r>
          </w:p>
        </w:tc>
        <w:tc>
          <w:tcPr>
            <w:tcW w:w="1260" w:type="dxa"/>
          </w:tcPr>
          <w:p w:rsidR="00A9519E" w:rsidRPr="00E76880" w:rsidRDefault="00A9519E" w:rsidP="00286E4C">
            <w:pPr>
              <w:keepNext/>
              <w:jc w:val="center"/>
              <w:rPr>
                <w:sz w:val="20"/>
              </w:rPr>
            </w:pPr>
            <w:r w:rsidRPr="00E76880">
              <w:rPr>
                <w:sz w:val="20"/>
              </w:rPr>
              <w:t>65</w:t>
            </w:r>
          </w:p>
        </w:tc>
        <w:tc>
          <w:tcPr>
            <w:tcW w:w="1350" w:type="dxa"/>
          </w:tcPr>
          <w:p w:rsidR="00A9519E" w:rsidRPr="00E76880" w:rsidRDefault="00A9519E" w:rsidP="00286E4C">
            <w:pPr>
              <w:keepNext/>
              <w:jc w:val="center"/>
              <w:rPr>
                <w:sz w:val="20"/>
              </w:rPr>
            </w:pPr>
            <w:r w:rsidRPr="00E76880">
              <w:rPr>
                <w:sz w:val="20"/>
              </w:rPr>
              <w:t>42</w:t>
            </w:r>
          </w:p>
        </w:tc>
        <w:tc>
          <w:tcPr>
            <w:tcW w:w="1350" w:type="dxa"/>
          </w:tcPr>
          <w:p w:rsidR="00A9519E" w:rsidRPr="00E76880" w:rsidRDefault="00A9519E" w:rsidP="00286E4C">
            <w:pPr>
              <w:keepNext/>
              <w:jc w:val="center"/>
              <w:rPr>
                <w:sz w:val="20"/>
              </w:rPr>
            </w:pPr>
            <w:r w:rsidRPr="00E76880">
              <w:rPr>
                <w:sz w:val="20"/>
              </w:rPr>
              <w:t>30</w:t>
            </w:r>
          </w:p>
        </w:tc>
      </w:tr>
      <w:tr w:rsidR="00A9519E" w:rsidTr="00E76880">
        <w:trPr>
          <w:jc w:val="center"/>
        </w:trPr>
        <w:tc>
          <w:tcPr>
            <w:tcW w:w="1458" w:type="dxa"/>
            <w:shd w:val="clear" w:color="auto" w:fill="BFBFBF" w:themeFill="background1" w:themeFillShade="BF"/>
          </w:tcPr>
          <w:p w:rsidR="00A9519E" w:rsidRPr="00E76880" w:rsidRDefault="00A9519E" w:rsidP="00286E4C">
            <w:pPr>
              <w:keepNext/>
              <w:rPr>
                <w:b/>
                <w:sz w:val="20"/>
              </w:rPr>
            </w:pPr>
            <w:r w:rsidRPr="00E76880">
              <w:rPr>
                <w:b/>
                <w:sz w:val="20"/>
              </w:rPr>
              <w:t>BEC Variant</w:t>
            </w:r>
          </w:p>
        </w:tc>
        <w:tc>
          <w:tcPr>
            <w:tcW w:w="1260" w:type="dxa"/>
          </w:tcPr>
          <w:p w:rsidR="00A9519E" w:rsidRPr="00E76880" w:rsidRDefault="00A9519E" w:rsidP="00286E4C">
            <w:pPr>
              <w:keepNext/>
              <w:jc w:val="center"/>
              <w:rPr>
                <w:sz w:val="20"/>
              </w:rPr>
            </w:pPr>
            <w:r w:rsidRPr="00E76880">
              <w:rPr>
                <w:sz w:val="20"/>
              </w:rPr>
              <w:t>114</w:t>
            </w:r>
          </w:p>
        </w:tc>
        <w:tc>
          <w:tcPr>
            <w:tcW w:w="1350" w:type="dxa"/>
          </w:tcPr>
          <w:p w:rsidR="00A9519E" w:rsidRPr="00E76880" w:rsidRDefault="00A9519E" w:rsidP="00286E4C">
            <w:pPr>
              <w:keepNext/>
              <w:jc w:val="center"/>
              <w:rPr>
                <w:sz w:val="20"/>
              </w:rPr>
            </w:pPr>
            <w:r w:rsidRPr="00E76880">
              <w:rPr>
                <w:sz w:val="20"/>
              </w:rPr>
              <w:t>63</w:t>
            </w:r>
          </w:p>
        </w:tc>
        <w:tc>
          <w:tcPr>
            <w:tcW w:w="1350" w:type="dxa"/>
          </w:tcPr>
          <w:p w:rsidR="00A9519E" w:rsidRPr="00E76880" w:rsidRDefault="00A9519E" w:rsidP="00286E4C">
            <w:pPr>
              <w:keepNext/>
              <w:jc w:val="center"/>
              <w:rPr>
                <w:sz w:val="20"/>
              </w:rPr>
            </w:pPr>
            <w:r w:rsidRPr="00E76880">
              <w:rPr>
                <w:sz w:val="20"/>
              </w:rPr>
              <w:t>39</w:t>
            </w:r>
          </w:p>
        </w:tc>
      </w:tr>
    </w:tbl>
    <w:p w:rsidR="00A9519E" w:rsidRDefault="00A9519E" w:rsidP="00A9519E"/>
    <w:p w:rsidR="00A9519E" w:rsidRDefault="00A9519E" w:rsidP="00A9519E">
      <w:r>
        <w:t>For BEC zones that ha</w:t>
      </w:r>
      <w:r w:rsidR="00BD33B2">
        <w:t>ve</w:t>
      </w:r>
      <w:r>
        <w:t xml:space="preserve"> thus far been sampled relatively few times, consider 1) that low sample size does not mean there is no information (see Section </w:t>
      </w:r>
      <w:r w:rsidR="00495B9B">
        <w:fldChar w:fldCharType="begin"/>
      </w:r>
      <w:r w:rsidR="00CD4D18">
        <w:instrText xml:space="preserve"> REF _Ref437538793 \r \h </w:instrText>
      </w:r>
      <w:r w:rsidR="00495B9B">
        <w:fldChar w:fldCharType="separate"/>
      </w:r>
      <w:r w:rsidR="005E13E6">
        <w:t>B.2</w:t>
      </w:r>
      <w:r w:rsidR="00495B9B">
        <w:fldChar w:fldCharType="end"/>
      </w:r>
      <w:r>
        <w:t xml:space="preserve"> below), and 2) that this might be an appropriate targeted use of priority sampling (see Section </w:t>
      </w:r>
      <w:r w:rsidR="00495B9B">
        <w:fldChar w:fldCharType="begin"/>
      </w:r>
      <w:r w:rsidR="00CD4D18">
        <w:instrText xml:space="preserve"> REF _Ref437538832 \r \h </w:instrText>
      </w:r>
      <w:r w:rsidR="00495B9B">
        <w:fldChar w:fldCharType="separate"/>
      </w:r>
      <w:r w:rsidR="005E13E6">
        <w:t>B.6</w:t>
      </w:r>
      <w:r w:rsidR="00495B9B">
        <w:fldChar w:fldCharType="end"/>
      </w:r>
      <w:r>
        <w:t>).</w:t>
      </w:r>
    </w:p>
    <w:p w:rsidR="008B5315" w:rsidRPr="0003042D" w:rsidRDefault="008B5315" w:rsidP="002B118C">
      <w:pPr>
        <w:pStyle w:val="SubHead2"/>
      </w:pPr>
      <w:r w:rsidRPr="0003042D">
        <w:t>Linking</w:t>
      </w:r>
      <w:r w:rsidR="0003042D">
        <w:t xml:space="preserve"> with other data for other post-stratification</w:t>
      </w:r>
    </w:p>
    <w:p w:rsidR="00A9519E" w:rsidRDefault="0003042D" w:rsidP="00BD33B2">
      <w:r>
        <w:t xml:space="preserve">User feedback indicated a strong desire to be able to stratify on a range of potential stratification variables. Some of those variables are included in the FREP data and can therefore be readily used for post-stratification (e.g., stream class in riparian data, BEC in stand-level biodiversity data, as discussed above). However, the FREP </w:t>
      </w:r>
      <w:proofErr w:type="spellStart"/>
      <w:r>
        <w:t>cutblock</w:t>
      </w:r>
      <w:proofErr w:type="spellEnd"/>
      <w:r>
        <w:t xml:space="preserve"> sample data could be linked to other stratification variables based on external data sources. For example, GIS </w:t>
      </w:r>
      <w:r w:rsidR="00BD33B2">
        <w:t xml:space="preserve">processing </w:t>
      </w:r>
      <w:r>
        <w:t xml:space="preserve">could be used to link </w:t>
      </w:r>
      <w:r w:rsidR="00BD33B2">
        <w:t xml:space="preserve">sample </w:t>
      </w:r>
      <w:proofErr w:type="spellStart"/>
      <w:r>
        <w:t>cutblocks</w:t>
      </w:r>
      <w:proofErr w:type="spellEnd"/>
      <w:r w:rsidR="00BD33B2">
        <w:t xml:space="preserve"> with data on their BEC zone. </w:t>
      </w:r>
      <w:r w:rsidR="00A9519E">
        <w:t xml:space="preserve">Other potential stratifying variables of interest to users included licensee size, block size, elevation, and watershed unit. </w:t>
      </w:r>
      <w:r w:rsidR="00BD33B2">
        <w:t>T</w:t>
      </w:r>
      <w:r w:rsidR="00A9519E">
        <w:t>hese data are not integrated in the FREP datasets (e.g., stand-level biodive</w:t>
      </w:r>
      <w:r w:rsidR="00BD33B2">
        <w:t>rsity, riparian, water quality); however, they could be provided through additional analyses or by linking with relevant other data sources.</w:t>
      </w:r>
    </w:p>
    <w:p w:rsidR="008B5315" w:rsidRPr="0003042D" w:rsidRDefault="00286C55" w:rsidP="002B118C">
      <w:pPr>
        <w:pStyle w:val="SubHead2"/>
      </w:pPr>
      <w:r>
        <w:t>Using the detailed data</w:t>
      </w:r>
      <w:r w:rsidR="0003042D">
        <w:t xml:space="preserve"> within particular values</w:t>
      </w:r>
    </w:p>
    <w:p w:rsidR="00286C55" w:rsidRDefault="00286C55" w:rsidP="0003042D">
      <w:r>
        <w:t xml:space="preserve">The MRVA reports </w:t>
      </w:r>
      <w:r w:rsidR="00BD734A">
        <w:t>(</w:t>
      </w:r>
      <w:r>
        <w:t xml:space="preserve">and the post-stratification example </w:t>
      </w:r>
      <w:r w:rsidR="00BD734A">
        <w:t xml:space="preserve">presented </w:t>
      </w:r>
      <w:r w:rsidR="00A90334">
        <w:t>above</w:t>
      </w:r>
      <w:r w:rsidR="00BD734A">
        <w:t xml:space="preserve">) </w:t>
      </w:r>
      <w:r>
        <w:t>focus on key performance metrics. However, many different metrics are measured in detail</w:t>
      </w:r>
      <w:r w:rsidR="00BD734A">
        <w:t xml:space="preserve"> within each value</w:t>
      </w:r>
      <w:r>
        <w:t xml:space="preserve">. Therefore there are </w:t>
      </w:r>
      <w:r>
        <w:lastRenderedPageBreak/>
        <w:t xml:space="preserve">opportunities to explore all types of detailed research and management questions by digging deeper into the data. For example, the key performance metric within the riparian </w:t>
      </w:r>
      <w:r w:rsidR="00A90334">
        <w:t>value is Functioning Condition</w:t>
      </w:r>
      <w:r>
        <w:t xml:space="preserve">, but that assessment integrates the results from 15 questions (including further sub-questions) on a range of biological and physical attributes. Using that data, </w:t>
      </w:r>
      <w:r w:rsidR="00FA19E4">
        <w:t>one could</w:t>
      </w:r>
      <w:r>
        <w:t xml:space="preserve"> assess the relati</w:t>
      </w:r>
      <w:r w:rsidR="00FA19E4">
        <w:t>onship between particular biological and geomorphological conditions, and then examine how such relationships vary by stream class, or district, or BEC zone (if that extra GIS step is taken).</w:t>
      </w:r>
    </w:p>
    <w:p w:rsidR="008B5315" w:rsidRDefault="00A11FE6" w:rsidP="002B118C">
      <w:pPr>
        <w:pStyle w:val="SubHead2"/>
      </w:pPr>
      <w:r>
        <w:t xml:space="preserve">Examples of other potential questions </w:t>
      </w:r>
      <w:r w:rsidR="00080CF5">
        <w:t>or applications</w:t>
      </w:r>
    </w:p>
    <w:p w:rsidR="00080CF5" w:rsidRPr="00080CF5" w:rsidRDefault="00080CF5" w:rsidP="00BD734A">
      <w:pPr>
        <w:spacing w:after="60"/>
      </w:pPr>
      <w:r>
        <w:t xml:space="preserve">The following list contains a few examples of potential questions or analyses for which the FREP data could be utilized. </w:t>
      </w:r>
      <w:r w:rsidR="00D377EE">
        <w:t xml:space="preserve">The possibilities are endless but these are </w:t>
      </w:r>
      <w:r w:rsidR="00BD734A">
        <w:t>merely</w:t>
      </w:r>
      <w:r w:rsidR="00D377EE">
        <w:t xml:space="preserve"> a few concrete examples. Note that some of these analyses would require using both FREP and non-FREP data sources.</w:t>
      </w:r>
    </w:p>
    <w:p w:rsidR="00A11FE6" w:rsidRPr="00A11FE6" w:rsidRDefault="00A11FE6" w:rsidP="00BD734A">
      <w:pPr>
        <w:pStyle w:val="ListParagraph"/>
        <w:numPr>
          <w:ilvl w:val="0"/>
          <w:numId w:val="12"/>
        </w:numPr>
        <w:spacing w:after="60"/>
        <w:rPr>
          <w:lang w:val="en-CA"/>
        </w:rPr>
      </w:pPr>
      <w:r w:rsidRPr="00A11FE6">
        <w:rPr>
          <w:lang w:val="en-CA"/>
        </w:rPr>
        <w:t>Assess the difference in biodiversity outcomes and indicators based on</w:t>
      </w:r>
      <w:r w:rsidR="00FD20E4">
        <w:rPr>
          <w:lang w:val="en-CA"/>
        </w:rPr>
        <w:t xml:space="preserve"> the</w:t>
      </w:r>
      <w:r w:rsidRPr="00A11FE6">
        <w:rPr>
          <w:lang w:val="en-CA"/>
        </w:rPr>
        <w:t xml:space="preserve"> age of the pre-harvest stand</w:t>
      </w:r>
      <w:r w:rsidR="00BD734A">
        <w:rPr>
          <w:lang w:val="en-CA"/>
        </w:rPr>
        <w:t>.</w:t>
      </w:r>
    </w:p>
    <w:p w:rsidR="00A11FE6" w:rsidRPr="00A11FE6" w:rsidRDefault="00A11FE6" w:rsidP="00BD734A">
      <w:pPr>
        <w:pStyle w:val="ListParagraph"/>
        <w:numPr>
          <w:ilvl w:val="0"/>
          <w:numId w:val="12"/>
        </w:numPr>
        <w:spacing w:after="60"/>
        <w:rPr>
          <w:lang w:val="en-CA"/>
        </w:rPr>
      </w:pPr>
      <w:r w:rsidRPr="00A11FE6">
        <w:rPr>
          <w:lang w:val="en-CA"/>
        </w:rPr>
        <w:t xml:space="preserve">Determine </w:t>
      </w:r>
      <w:r w:rsidR="00FD20E4">
        <w:rPr>
          <w:lang w:val="en-CA"/>
        </w:rPr>
        <w:t xml:space="preserve">the </w:t>
      </w:r>
      <w:r w:rsidRPr="00A11FE6">
        <w:rPr>
          <w:lang w:val="en-CA"/>
        </w:rPr>
        <w:t xml:space="preserve">age of road system and </w:t>
      </w:r>
      <w:r w:rsidR="00FD20E4">
        <w:rPr>
          <w:lang w:val="en-CA"/>
        </w:rPr>
        <w:t>evaluate the relationship with water quality outcomes</w:t>
      </w:r>
      <w:r w:rsidR="00BD734A">
        <w:rPr>
          <w:lang w:val="en-CA"/>
        </w:rPr>
        <w:t>.</w:t>
      </w:r>
    </w:p>
    <w:p w:rsidR="00A11FE6" w:rsidRPr="00A11FE6" w:rsidRDefault="00080CF5" w:rsidP="00BD734A">
      <w:pPr>
        <w:pStyle w:val="ListParagraph"/>
        <w:numPr>
          <w:ilvl w:val="0"/>
          <w:numId w:val="12"/>
        </w:numPr>
        <w:spacing w:after="60"/>
        <w:rPr>
          <w:lang w:val="en-CA"/>
        </w:rPr>
      </w:pPr>
      <w:r>
        <w:rPr>
          <w:lang w:val="en-CA"/>
        </w:rPr>
        <w:t>Assess whether there is a correlation between</w:t>
      </w:r>
      <w:r w:rsidR="00A11FE6" w:rsidRPr="00A11FE6">
        <w:rPr>
          <w:lang w:val="en-CA"/>
        </w:rPr>
        <w:t xml:space="preserve"> water quality outcomes and </w:t>
      </w:r>
      <w:r>
        <w:rPr>
          <w:lang w:val="en-CA"/>
        </w:rPr>
        <w:t>the level of training for equipment operators</w:t>
      </w:r>
      <w:r w:rsidR="00BD734A">
        <w:rPr>
          <w:lang w:val="en-CA"/>
        </w:rPr>
        <w:t>.</w:t>
      </w:r>
    </w:p>
    <w:p w:rsidR="00A11FE6" w:rsidRPr="00A11FE6" w:rsidRDefault="00080CF5" w:rsidP="00BD734A">
      <w:pPr>
        <w:pStyle w:val="ListParagraph"/>
        <w:numPr>
          <w:ilvl w:val="0"/>
          <w:numId w:val="12"/>
        </w:numPr>
        <w:spacing w:after="60"/>
        <w:rPr>
          <w:lang w:val="en-CA"/>
        </w:rPr>
      </w:pPr>
      <w:r>
        <w:rPr>
          <w:lang w:val="en-CA"/>
        </w:rPr>
        <w:t>Evaluate the degree of c</w:t>
      </w:r>
      <w:r w:rsidR="00A11FE6" w:rsidRPr="00A11FE6">
        <w:rPr>
          <w:lang w:val="en-CA"/>
        </w:rPr>
        <w:t>orrelation of stream width within stream classes and outcomes</w:t>
      </w:r>
      <w:r w:rsidR="00BD734A">
        <w:rPr>
          <w:lang w:val="en-CA"/>
        </w:rPr>
        <w:t>.</w:t>
      </w:r>
    </w:p>
    <w:p w:rsidR="00A11FE6" w:rsidRPr="00A11FE6" w:rsidRDefault="00080CF5" w:rsidP="00BD734A">
      <w:pPr>
        <w:pStyle w:val="ListParagraph"/>
        <w:numPr>
          <w:ilvl w:val="0"/>
          <w:numId w:val="12"/>
        </w:numPr>
        <w:spacing w:after="60"/>
        <w:rPr>
          <w:lang w:val="en-CA"/>
        </w:rPr>
      </w:pPr>
      <w:r>
        <w:rPr>
          <w:lang w:val="en-CA"/>
        </w:rPr>
        <w:t>M</w:t>
      </w:r>
      <w:r w:rsidR="008B5315" w:rsidRPr="00A11FE6">
        <w:rPr>
          <w:lang w:val="en-CA"/>
        </w:rPr>
        <w:t xml:space="preserve">odelling decay </w:t>
      </w:r>
      <w:r w:rsidRPr="00A11FE6">
        <w:rPr>
          <w:lang w:val="en-CA"/>
        </w:rPr>
        <w:t xml:space="preserve">forward </w:t>
      </w:r>
      <w:r w:rsidR="008B5315" w:rsidRPr="00A11FE6">
        <w:rPr>
          <w:lang w:val="en-CA"/>
        </w:rPr>
        <w:t xml:space="preserve">from known </w:t>
      </w:r>
      <w:r>
        <w:rPr>
          <w:lang w:val="en-CA"/>
        </w:rPr>
        <w:t xml:space="preserve">coarse woody debris and standing retention </w:t>
      </w:r>
      <w:r w:rsidR="00650F65">
        <w:rPr>
          <w:lang w:val="en-CA"/>
        </w:rPr>
        <w:t xml:space="preserve">levels </w:t>
      </w:r>
      <w:r>
        <w:rPr>
          <w:lang w:val="en-CA"/>
        </w:rPr>
        <w:t>in different BEC zones</w:t>
      </w:r>
      <w:r w:rsidR="00BD734A">
        <w:rPr>
          <w:lang w:val="en-CA"/>
        </w:rPr>
        <w:t>.</w:t>
      </w:r>
    </w:p>
    <w:p w:rsidR="00080CF5" w:rsidRDefault="00080CF5" w:rsidP="00BD734A">
      <w:pPr>
        <w:pStyle w:val="ListParagraph"/>
        <w:numPr>
          <w:ilvl w:val="0"/>
          <w:numId w:val="12"/>
        </w:numPr>
        <w:spacing w:after="60"/>
        <w:rPr>
          <w:lang w:val="en-CA"/>
        </w:rPr>
      </w:pPr>
      <w:r>
        <w:rPr>
          <w:lang w:val="en-CA"/>
        </w:rPr>
        <w:t>A</w:t>
      </w:r>
      <w:r w:rsidR="008B5315" w:rsidRPr="00A11FE6">
        <w:rPr>
          <w:lang w:val="en-CA"/>
        </w:rPr>
        <w:t xml:space="preserve">ssessing the </w:t>
      </w:r>
      <w:r w:rsidR="00BD734A">
        <w:rPr>
          <w:lang w:val="en-CA"/>
        </w:rPr>
        <w:t>species composition of</w:t>
      </w:r>
      <w:r w:rsidR="008B5315" w:rsidRPr="00A11FE6">
        <w:rPr>
          <w:lang w:val="en-CA"/>
        </w:rPr>
        <w:t xml:space="preserve"> retained </w:t>
      </w:r>
      <w:r w:rsidR="00BD734A">
        <w:rPr>
          <w:lang w:val="en-CA"/>
        </w:rPr>
        <w:t xml:space="preserve">trees </w:t>
      </w:r>
      <w:r w:rsidR="008B5315" w:rsidRPr="00A11FE6">
        <w:rPr>
          <w:lang w:val="en-CA"/>
        </w:rPr>
        <w:t>compared t</w:t>
      </w:r>
      <w:r w:rsidR="00FA19E4" w:rsidRPr="00A11FE6">
        <w:rPr>
          <w:lang w:val="en-CA"/>
        </w:rPr>
        <w:t xml:space="preserve">o </w:t>
      </w:r>
      <w:r>
        <w:rPr>
          <w:lang w:val="en-CA"/>
        </w:rPr>
        <w:t>the pre-harvest inventory</w:t>
      </w:r>
      <w:r w:rsidR="00BD734A">
        <w:rPr>
          <w:lang w:val="en-CA"/>
        </w:rPr>
        <w:t>.</w:t>
      </w:r>
    </w:p>
    <w:p w:rsidR="008B5315" w:rsidRDefault="00080CF5" w:rsidP="00BD734A">
      <w:pPr>
        <w:pStyle w:val="ListParagraph"/>
        <w:numPr>
          <w:ilvl w:val="0"/>
          <w:numId w:val="12"/>
        </w:numPr>
        <w:spacing w:after="60"/>
        <w:rPr>
          <w:lang w:val="en-CA"/>
        </w:rPr>
      </w:pPr>
      <w:r w:rsidRPr="00A11FE6">
        <w:rPr>
          <w:lang w:val="en-CA"/>
        </w:rPr>
        <w:t xml:space="preserve">Determine how much long-term retention (e.g. parks, </w:t>
      </w:r>
      <w:r w:rsidR="00B430B6">
        <w:rPr>
          <w:lang w:val="en-CA"/>
        </w:rPr>
        <w:t>Old Growth Management Areas</w:t>
      </w:r>
      <w:r w:rsidRPr="00A11FE6">
        <w:rPr>
          <w:lang w:val="en-CA"/>
        </w:rPr>
        <w:t xml:space="preserve">, non-harvest </w:t>
      </w:r>
      <w:r w:rsidR="00B430B6">
        <w:rPr>
          <w:lang w:val="en-CA"/>
        </w:rPr>
        <w:t>Wildlife Habitat Areas</w:t>
      </w:r>
      <w:r w:rsidRPr="00A11FE6">
        <w:rPr>
          <w:lang w:val="en-CA"/>
        </w:rPr>
        <w:t xml:space="preserve"> or </w:t>
      </w:r>
      <w:r w:rsidR="00B430B6">
        <w:rPr>
          <w:lang w:val="en-CA"/>
        </w:rPr>
        <w:t>Ungulate Winter Range</w:t>
      </w:r>
      <w:r w:rsidRPr="00A11FE6">
        <w:rPr>
          <w:lang w:val="en-CA"/>
        </w:rPr>
        <w:t xml:space="preserve">, riparian reserve) </w:t>
      </w:r>
      <w:proofErr w:type="gramStart"/>
      <w:r w:rsidRPr="00A11FE6">
        <w:rPr>
          <w:lang w:val="en-CA"/>
        </w:rPr>
        <w:t>exists</w:t>
      </w:r>
      <w:proofErr w:type="gramEnd"/>
      <w:r w:rsidRPr="00A11FE6">
        <w:rPr>
          <w:lang w:val="en-CA"/>
        </w:rPr>
        <w:t xml:space="preserve"> external to sampled </w:t>
      </w:r>
      <w:proofErr w:type="spellStart"/>
      <w:r w:rsidRPr="00A11FE6">
        <w:rPr>
          <w:lang w:val="en-CA"/>
        </w:rPr>
        <w:t>cutblocks</w:t>
      </w:r>
      <w:proofErr w:type="spellEnd"/>
      <w:r w:rsidRPr="00A11FE6">
        <w:rPr>
          <w:lang w:val="en-CA"/>
        </w:rPr>
        <w:t xml:space="preserve"> for biodiversity </w:t>
      </w:r>
      <w:r>
        <w:rPr>
          <w:lang w:val="en-CA"/>
        </w:rPr>
        <w:t>requirements</w:t>
      </w:r>
      <w:r w:rsidR="00BD734A">
        <w:rPr>
          <w:lang w:val="en-CA"/>
        </w:rPr>
        <w:t>,</w:t>
      </w:r>
      <w:r>
        <w:rPr>
          <w:lang w:val="en-CA"/>
        </w:rPr>
        <w:t xml:space="preserve"> </w:t>
      </w:r>
      <w:r w:rsidRPr="00A11FE6">
        <w:rPr>
          <w:lang w:val="en-CA"/>
        </w:rPr>
        <w:t xml:space="preserve">to assess if blocks with very low retention have </w:t>
      </w:r>
      <w:r w:rsidR="00B430B6">
        <w:rPr>
          <w:lang w:val="en-CA"/>
        </w:rPr>
        <w:t>been offset by</w:t>
      </w:r>
      <w:r w:rsidRPr="00A11FE6">
        <w:rPr>
          <w:lang w:val="en-CA"/>
        </w:rPr>
        <w:t xml:space="preserve"> nearby long-term retention</w:t>
      </w:r>
      <w:r>
        <w:rPr>
          <w:lang w:val="en-CA"/>
        </w:rPr>
        <w:t>.</w:t>
      </w:r>
    </w:p>
    <w:p w:rsidR="00BD734A" w:rsidRDefault="00BD734A" w:rsidP="00BD734A">
      <w:pPr>
        <w:pStyle w:val="ListParagraph"/>
        <w:numPr>
          <w:ilvl w:val="0"/>
          <w:numId w:val="0"/>
        </w:numPr>
        <w:spacing w:after="60"/>
        <w:ind w:left="720"/>
        <w:rPr>
          <w:lang w:val="en-CA"/>
        </w:rPr>
      </w:pPr>
    </w:p>
    <w:p w:rsidR="00CF5638" w:rsidRDefault="00A11FE6" w:rsidP="00CF5638">
      <w:r>
        <w:t xml:space="preserve">As stated earlier, the possibilities for further analyses, data mining, and exploring new and complex questions </w:t>
      </w:r>
      <w:r w:rsidR="00BD734A">
        <w:t>are</w:t>
      </w:r>
      <w:r>
        <w:t xml:space="preserve"> virtually endless. However, it does require resources either to directly pursue such work </w:t>
      </w:r>
      <w:r w:rsidR="00566E01">
        <w:t xml:space="preserve">within FREP </w:t>
      </w:r>
      <w:r>
        <w:t xml:space="preserve">or to provide support for external analysts and researchers to be able </w:t>
      </w:r>
      <w:r w:rsidR="00566E01">
        <w:t xml:space="preserve">to </w:t>
      </w:r>
      <w:r>
        <w:t>understand the data well enough to use it correctly.</w:t>
      </w:r>
    </w:p>
    <w:p w:rsidR="000B519A" w:rsidRDefault="002E0462" w:rsidP="00D1323F">
      <w:pPr>
        <w:pStyle w:val="Heading2"/>
      </w:pPr>
      <w:bookmarkStart w:id="14" w:name="_Ref437538793"/>
      <w:bookmarkStart w:id="15" w:name="_Ref438212216"/>
      <w:bookmarkStart w:id="16" w:name="_Toc442204967"/>
      <w:r>
        <w:t xml:space="preserve">Information at </w:t>
      </w:r>
      <w:r w:rsidR="0031312F">
        <w:t>Low Sample Sizes</w:t>
      </w:r>
      <w:bookmarkEnd w:id="14"/>
      <w:bookmarkEnd w:id="15"/>
      <w:bookmarkEnd w:id="16"/>
    </w:p>
    <w:p w:rsidR="0019218A" w:rsidRDefault="00B83479" w:rsidP="00B83479">
      <w:r>
        <w:t xml:space="preserve">A very common misinterpretation of sampling data (in FREP, </w:t>
      </w:r>
      <w:r w:rsidR="004A01C8">
        <w:t>as with other monitoring program</w:t>
      </w:r>
      <w:r w:rsidR="002E0462">
        <w:t>s</w:t>
      </w:r>
      <w:r w:rsidR="004A01C8">
        <w:t xml:space="preserve">) </w:t>
      </w:r>
      <w:r>
        <w:t>is the idea that when sample sizes are low they</w:t>
      </w:r>
      <w:r w:rsidR="004A01C8">
        <w:t xml:space="preserve"> </w:t>
      </w:r>
      <w:r w:rsidR="00C54A1F">
        <w:t>cannot</w:t>
      </w:r>
      <w:r w:rsidR="004A01C8">
        <w:t xml:space="preserve"> provide any </w:t>
      </w:r>
      <w:r w:rsidR="00566E01">
        <w:t xml:space="preserve">useful </w:t>
      </w:r>
      <w:r w:rsidR="004A01C8">
        <w:t xml:space="preserve">information. This is simply not true. The level of information provided by monitoring data exists along a spectrum from weak to strong (i.e., from low to high precision). When collected within a good sampling design, more data </w:t>
      </w:r>
      <w:r w:rsidR="00650F65">
        <w:t>are</w:t>
      </w:r>
      <w:r w:rsidR="004A01C8">
        <w:t xml:space="preserve"> always better than </w:t>
      </w:r>
      <w:r w:rsidR="00650F65">
        <w:t>fewer</w:t>
      </w:r>
      <w:r w:rsidR="004A01C8">
        <w:t xml:space="preserve"> data, but </w:t>
      </w:r>
      <w:r w:rsidR="00566E01">
        <w:t xml:space="preserve">having </w:t>
      </w:r>
      <w:r w:rsidR="004A01C8">
        <w:t xml:space="preserve">some data </w:t>
      </w:r>
      <w:r w:rsidR="00650F65">
        <w:t>always</w:t>
      </w:r>
      <w:r w:rsidR="004A01C8">
        <w:t xml:space="preserve"> provide more information than no data. </w:t>
      </w:r>
    </w:p>
    <w:p w:rsidR="004A01C8" w:rsidRDefault="002E0462" w:rsidP="00B83479">
      <w:r>
        <w:t xml:space="preserve">With lower sample sizes, we must accept less precision in our estimates, but that alone does not mean those estimates are </w:t>
      </w:r>
      <w:r w:rsidR="00BD33B2">
        <w:t>un</w:t>
      </w:r>
      <w:r>
        <w:t>informative</w:t>
      </w:r>
      <w:r w:rsidR="0019218A">
        <w:t xml:space="preserve"> because </w:t>
      </w:r>
      <w:r w:rsidR="00650F65">
        <w:t>the utility of the information</w:t>
      </w:r>
      <w:r w:rsidR="0019218A">
        <w:t xml:space="preserve"> also depends on the scale of effect we are interested in detecting. For </w:t>
      </w:r>
      <w:r>
        <w:t xml:space="preserve">example, although higher precision may be necessary to distinguish small differences in performance, </w:t>
      </w:r>
      <w:r w:rsidR="0019218A">
        <w:t xml:space="preserve">even with low precision we may </w:t>
      </w:r>
      <w:r w:rsidR="00573C9E">
        <w:t xml:space="preserve">still </w:t>
      </w:r>
      <w:r w:rsidR="0019218A">
        <w:t xml:space="preserve">be able to distinguish </w:t>
      </w:r>
      <w:r w:rsidR="0019218A">
        <w:lastRenderedPageBreak/>
        <w:t xml:space="preserve">very good performance from very bad, which </w:t>
      </w:r>
      <w:r w:rsidR="00650F65">
        <w:t>may</w:t>
      </w:r>
      <w:r w:rsidR="00BD33B2">
        <w:t xml:space="preserve"> be all that is needed to be</w:t>
      </w:r>
      <w:r w:rsidR="0019218A">
        <w:t xml:space="preserve"> informative</w:t>
      </w:r>
      <w:r w:rsidR="00650F65">
        <w:t xml:space="preserve"> in a particular context</w:t>
      </w:r>
      <w:r w:rsidR="0019218A">
        <w:t>.</w:t>
      </w:r>
      <w:r>
        <w:t xml:space="preserve"> </w:t>
      </w:r>
    </w:p>
    <w:p w:rsidR="00571FA6" w:rsidRDefault="00571FA6" w:rsidP="00B83479">
      <w:r>
        <w:t xml:space="preserve">The purpose of this section is to provide some illustrative examples of the information that is provided at lower sample sizes, to increase the understanding that the relationship between sample size and information is not in fact black and white but is indeed characterized by a spectrum. We have predominantly used the riparian data to demonstrate these </w:t>
      </w:r>
      <w:r w:rsidR="004D2D9F">
        <w:t>concepts</w:t>
      </w:r>
      <w:r w:rsidR="00573C9E">
        <w:t>.</w:t>
      </w:r>
    </w:p>
    <w:p w:rsidR="00B83479" w:rsidRPr="00FA19E4" w:rsidRDefault="00FA19E4" w:rsidP="002B118C">
      <w:pPr>
        <w:pStyle w:val="SubHead1"/>
      </w:pPr>
      <w:r>
        <w:t xml:space="preserve">Examples of </w:t>
      </w:r>
      <w:r w:rsidR="00650F65">
        <w:t xml:space="preserve">precision </w:t>
      </w:r>
      <w:r>
        <w:t xml:space="preserve">vs. </w:t>
      </w:r>
      <w:r w:rsidR="00650F65">
        <w:t xml:space="preserve">sample size </w:t>
      </w:r>
      <w:r>
        <w:t xml:space="preserve">using the </w:t>
      </w:r>
      <w:r w:rsidR="00650F65">
        <w:t>riparian value</w:t>
      </w:r>
    </w:p>
    <w:p w:rsidR="005A2A7B" w:rsidRDefault="00573C9E" w:rsidP="00637197">
      <w:r>
        <w:t xml:space="preserve">For the following examples, the performance measure being used is the number of “NO” answers within the 15-question </w:t>
      </w:r>
      <w:r w:rsidR="0013572B">
        <w:t xml:space="preserve">FREP </w:t>
      </w:r>
      <w:r>
        <w:t>protocol</w:t>
      </w:r>
      <w:r w:rsidR="00A90334">
        <w:t xml:space="preserve"> for the riparian value</w:t>
      </w:r>
      <w:r>
        <w:t xml:space="preserve">. </w:t>
      </w:r>
      <w:r w:rsidR="008B4AC5">
        <w:t xml:space="preserve">A greater number of NOs indicates poorer riparian condition and fewer NOs </w:t>
      </w:r>
      <w:r w:rsidR="00234730">
        <w:t>indicate</w:t>
      </w:r>
      <w:r w:rsidR="008B4AC5">
        <w:t xml:space="preserve"> better riparian condition. </w:t>
      </w:r>
      <w:r>
        <w:t>The protocol uses the number of NOs to determine the “riparian condition”</w:t>
      </w:r>
      <w:r>
        <w:rPr>
          <w:rStyle w:val="FootnoteReference"/>
        </w:rPr>
        <w:footnoteReference w:id="6"/>
      </w:r>
      <w:r>
        <w:t xml:space="preserve"> of the stream; however, we are directly </w:t>
      </w:r>
      <w:r w:rsidR="005A2A7B">
        <w:t>u</w:t>
      </w:r>
      <w:r w:rsidR="004D2D9F">
        <w:t>sing the count itself as the</w:t>
      </w:r>
      <w:r w:rsidR="005A2A7B">
        <w:t xml:space="preserve"> performance measure</w:t>
      </w:r>
      <w:r>
        <w:t>.</w:t>
      </w:r>
      <w:r w:rsidR="005A2A7B">
        <w:t xml:space="preserve"> </w:t>
      </w:r>
    </w:p>
    <w:p w:rsidR="002B6D58" w:rsidRPr="002B6D58" w:rsidRDefault="002B6D58" w:rsidP="002B118C">
      <w:pPr>
        <w:pStyle w:val="SubHead2"/>
      </w:pPr>
      <w:r>
        <w:t>Sample size and relative precision</w:t>
      </w:r>
    </w:p>
    <w:p w:rsidR="00E87583" w:rsidRDefault="00E465C1" w:rsidP="00637197">
      <w:r>
        <w:t xml:space="preserve">For the riparian value example, </w:t>
      </w:r>
      <w:r w:rsidR="00495B9B">
        <w:fldChar w:fldCharType="begin"/>
      </w:r>
      <w:r>
        <w:instrText xml:space="preserve"> REF _Ref437348169 \h </w:instrText>
      </w:r>
      <w:r w:rsidR="00495B9B">
        <w:fldChar w:fldCharType="separate"/>
      </w:r>
      <w:r w:rsidR="005E13E6">
        <w:t xml:space="preserve">Figure </w:t>
      </w:r>
      <w:r w:rsidR="005E13E6">
        <w:rPr>
          <w:noProof/>
        </w:rPr>
        <w:t>1</w:t>
      </w:r>
      <w:r w:rsidR="00495B9B">
        <w:fldChar w:fldCharType="end"/>
      </w:r>
      <w:r w:rsidR="00637197">
        <w:t xml:space="preserve"> </w:t>
      </w:r>
      <w:r>
        <w:t>shows how</w:t>
      </w:r>
      <w:r w:rsidR="00637197">
        <w:t xml:space="preserve"> many samples a district would need to get within </w:t>
      </w:r>
      <w:r w:rsidR="004D2D9F">
        <w:t>a certain percentage around</w:t>
      </w:r>
      <w:r w:rsidR="00637197">
        <w:t xml:space="preserve"> the population mean</w:t>
      </w:r>
      <w:r>
        <w:t xml:space="preserve"> (i.e., estimated by all of the samples for the district)</w:t>
      </w:r>
      <w:r w:rsidR="00637197">
        <w:t xml:space="preserve">. The figure shows that with the observed population mean (3.4) and variance (5.75) of the number of NOs in the riparian assessments, a sample size of 30 within </w:t>
      </w:r>
      <w:r w:rsidR="00A90334">
        <w:t xml:space="preserve">a particular </w:t>
      </w:r>
      <w:r w:rsidR="00637197">
        <w:t xml:space="preserve">district will result in an estimate that is </w:t>
      </w:r>
      <w:r>
        <w:t>within approximately 12%</w:t>
      </w:r>
      <w:r w:rsidR="00637197">
        <w:t xml:space="preserve"> of the district mean.</w:t>
      </w:r>
      <w:r w:rsidR="00095A92">
        <w:t xml:space="preserve"> However, even with only 10 samples, the estimate would still be within approximately 22% of the district mean.</w:t>
      </w:r>
      <w:r w:rsidR="0040555F">
        <w:t xml:space="preserve"> With higher variance (e.g., 17) the estimate </w:t>
      </w:r>
      <w:r w:rsidR="000E056B">
        <w:t xml:space="preserve">resulting from </w:t>
      </w:r>
      <w:r w:rsidR="0040555F">
        <w:t>only 10 samples would be within 40% of the</w:t>
      </w:r>
      <w:r w:rsidR="00095A92">
        <w:t xml:space="preserve"> </w:t>
      </w:r>
      <w:r w:rsidR="0040555F">
        <w:t xml:space="preserve">district mean, </w:t>
      </w:r>
      <w:r w:rsidR="000E056B">
        <w:t>which is imprecise but not completely uninformative (</w:t>
      </w:r>
      <w:r w:rsidR="00682B83">
        <w:t>this</w:t>
      </w:r>
      <w:r w:rsidR="000E056B">
        <w:t xml:space="preserve"> is demonstrated more intuitively by looking at absolute precision, </w:t>
      </w:r>
      <w:r w:rsidR="004D2D9F">
        <w:t>which</w:t>
      </w:r>
      <w:r w:rsidR="000E056B">
        <w:t xml:space="preserve"> follows). W</w:t>
      </w:r>
      <w:r w:rsidR="0040555F">
        <w:t xml:space="preserve">ith lower variance (e.g., 1) </w:t>
      </w:r>
      <w:r w:rsidR="00650F65">
        <w:t>10 samples would provide an estimate that</w:t>
      </w:r>
      <w:r w:rsidR="0040555F">
        <w:t xml:space="preserve"> would be with</w:t>
      </w:r>
      <w:r w:rsidR="000E056B">
        <w:t>in 10%</w:t>
      </w:r>
      <w:r w:rsidR="00650F65">
        <w:t xml:space="preserve"> of the district mean</w:t>
      </w:r>
      <w:r w:rsidR="000E056B">
        <w:t xml:space="preserve">, which is </w:t>
      </w:r>
      <w:r w:rsidR="00650F65">
        <w:t>reasonably</w:t>
      </w:r>
      <w:r w:rsidR="000E056B">
        <w:t xml:space="preserve"> precise.</w:t>
      </w:r>
    </w:p>
    <w:p w:rsidR="00DE778C" w:rsidRDefault="00D5685B" w:rsidP="00D5685B">
      <w:pPr>
        <w:keepNext/>
        <w:jc w:val="center"/>
      </w:pPr>
      <w:r>
        <w:rPr>
          <w:noProof/>
        </w:rPr>
        <w:lastRenderedPageBreak/>
        <w:drawing>
          <wp:inline distT="0" distB="0" distL="0" distR="0" wp14:anchorId="5FE2C36E" wp14:editId="19702FCD">
            <wp:extent cx="4178808"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t="2041" r="813" b="-1"/>
                    <a:stretch/>
                  </pic:blipFill>
                  <pic:spPr bwMode="auto">
                    <a:xfrm>
                      <a:off x="0" y="0"/>
                      <a:ext cx="4178808" cy="2743200"/>
                    </a:xfrm>
                    <a:prstGeom prst="rect">
                      <a:avLst/>
                    </a:prstGeom>
                    <a:ln>
                      <a:noFill/>
                    </a:ln>
                    <a:extLst>
                      <a:ext uri="{53640926-AAD7-44D8-BBD7-CCE9431645EC}">
                        <a14:shadowObscured xmlns:a14="http://schemas.microsoft.com/office/drawing/2010/main"/>
                      </a:ext>
                    </a:extLst>
                  </pic:spPr>
                </pic:pic>
              </a:graphicData>
            </a:graphic>
          </wp:inline>
        </w:drawing>
      </w:r>
    </w:p>
    <w:p w:rsidR="00571FA6" w:rsidRDefault="00DE778C" w:rsidP="00DE778C">
      <w:pPr>
        <w:pStyle w:val="Caption"/>
      </w:pPr>
      <w:bookmarkStart w:id="17" w:name="_Ref437348169"/>
      <w:bookmarkStart w:id="18" w:name="_Ref437348165"/>
      <w:proofErr w:type="gramStart"/>
      <w:r>
        <w:t xml:space="preserve">Figure </w:t>
      </w:r>
      <w:r w:rsidR="00495B9B">
        <w:fldChar w:fldCharType="begin"/>
      </w:r>
      <w:r w:rsidR="002F6AE4">
        <w:instrText xml:space="preserve"> SEQ Figure \* ARABIC </w:instrText>
      </w:r>
      <w:r w:rsidR="00495B9B">
        <w:fldChar w:fldCharType="separate"/>
      </w:r>
      <w:r w:rsidR="005E13E6">
        <w:rPr>
          <w:noProof/>
        </w:rPr>
        <w:t>1</w:t>
      </w:r>
      <w:r w:rsidR="00495B9B">
        <w:rPr>
          <w:noProof/>
        </w:rPr>
        <w:fldChar w:fldCharType="end"/>
      </w:r>
      <w:bookmarkEnd w:id="17"/>
      <w:r>
        <w:t>.</w:t>
      </w:r>
      <w:proofErr w:type="gramEnd"/>
      <w:r>
        <w:tab/>
      </w:r>
      <w:proofErr w:type="gramStart"/>
      <w:r>
        <w:t>Exploring the relationship between relative precision around the district estimate of the “number of NOs” (riparian value performance measure) and sample size for different levels of variance.</w:t>
      </w:r>
      <w:bookmarkEnd w:id="18"/>
      <w:proofErr w:type="gramEnd"/>
    </w:p>
    <w:p w:rsidR="002B6D58" w:rsidRPr="002B6D58" w:rsidRDefault="002B6D58" w:rsidP="002B118C">
      <w:pPr>
        <w:pStyle w:val="SubHead2"/>
      </w:pPr>
      <w:r>
        <w:t>Sample size and absolute precision</w:t>
      </w:r>
    </w:p>
    <w:p w:rsidR="000E056B" w:rsidRDefault="000E056B" w:rsidP="000E056B">
      <w:r>
        <w:t>An alternate approach is to l</w:t>
      </w:r>
      <w:r w:rsidR="00637197">
        <w:t>ook at the effect of sample size on the width of the confidence intervals (absolute precision)</w:t>
      </w:r>
      <w:r>
        <w:t xml:space="preserve"> (</w:t>
      </w:r>
      <w:r w:rsidR="00495B9B">
        <w:fldChar w:fldCharType="begin"/>
      </w:r>
      <w:r>
        <w:instrText xml:space="preserve"> REF _Ref437350401 \h </w:instrText>
      </w:r>
      <w:r w:rsidR="00495B9B">
        <w:fldChar w:fldCharType="separate"/>
      </w:r>
      <w:r w:rsidR="005E13E6">
        <w:t xml:space="preserve">Figure </w:t>
      </w:r>
      <w:r w:rsidR="005E13E6">
        <w:rPr>
          <w:noProof/>
        </w:rPr>
        <w:t>2</w:t>
      </w:r>
      <w:r w:rsidR="00495B9B">
        <w:fldChar w:fldCharType="end"/>
      </w:r>
      <w:r>
        <w:t>)</w:t>
      </w:r>
      <w:r w:rsidR="00637197">
        <w:t xml:space="preserve">. </w:t>
      </w:r>
      <w:r w:rsidR="00682B83">
        <w:t>Th</w:t>
      </w:r>
      <w:r w:rsidR="004D2D9F">
        <w:t>e</w:t>
      </w:r>
      <w:r w:rsidR="00682B83">
        <w:t xml:space="preserve"> results of this approach are likely more intuitive to understand because they align with how this performance measure is used to classify riparian condition</w:t>
      </w:r>
      <w:r w:rsidR="004D2D9F">
        <w:t xml:space="preserve"> (i.e., based on actual number of NOs)</w:t>
      </w:r>
      <w:r w:rsidR="00682B83">
        <w:t xml:space="preserve">. </w:t>
      </w:r>
      <w:r w:rsidR="00637197">
        <w:t xml:space="preserve">Using estimates of the mean from the riparian assessment of </w:t>
      </w:r>
      <w:r>
        <w:t xml:space="preserve">the number of </w:t>
      </w:r>
      <w:proofErr w:type="gramStart"/>
      <w:r w:rsidR="00637197">
        <w:t>NOs,</w:t>
      </w:r>
      <w:proofErr w:type="gramEnd"/>
      <w:r w:rsidR="00637197">
        <w:t xml:space="preserve"> and adjusting the underlying estimate of variability of NOs, we can see what the effect is on the precision of the estimate of mean (i.e., the absolute width of the confidence interval). </w:t>
      </w:r>
      <w:r w:rsidR="00495B9B">
        <w:fldChar w:fldCharType="begin"/>
      </w:r>
      <w:r>
        <w:instrText xml:space="preserve"> REF _Ref437350401 \h </w:instrText>
      </w:r>
      <w:r w:rsidR="00495B9B">
        <w:fldChar w:fldCharType="separate"/>
      </w:r>
      <w:r w:rsidR="005E13E6">
        <w:t xml:space="preserve">Figure </w:t>
      </w:r>
      <w:r w:rsidR="005E13E6">
        <w:rPr>
          <w:noProof/>
        </w:rPr>
        <w:t>2</w:t>
      </w:r>
      <w:r w:rsidR="00495B9B">
        <w:fldChar w:fldCharType="end"/>
      </w:r>
      <w:r w:rsidR="00637197">
        <w:t xml:space="preserve"> </w:t>
      </w:r>
      <w:r>
        <w:t xml:space="preserve">shows </w:t>
      </w:r>
      <w:r w:rsidR="00637197">
        <w:t xml:space="preserve">that with the observed population mean (3.4) and variance (5.75) for the number of NOs in the riparian assessments, a sample size </w:t>
      </w:r>
      <w:r w:rsidR="00682B83">
        <w:t>of 20 within</w:t>
      </w:r>
      <w:r w:rsidR="00682B83" w:rsidRPr="00682B83">
        <w:t xml:space="preserve"> </w:t>
      </w:r>
      <w:r w:rsidR="00682B83">
        <w:t xml:space="preserve">district </w:t>
      </w:r>
      <w:r w:rsidR="00682B83">
        <w:rPr>
          <w:rFonts w:ascii="CMMI10" w:hAnsi="CMMI10" w:cs="CMMI10"/>
        </w:rPr>
        <w:t>d</w:t>
      </w:r>
      <w:r w:rsidR="00682B83" w:rsidRPr="00682B83">
        <w:t xml:space="preserve"> </w:t>
      </w:r>
      <w:r w:rsidR="00682B83">
        <w:t>will result in an estimate that is within (i.e., plus or minus) 0.5 NOs for the district. A sample size of only</w:t>
      </w:r>
      <w:r>
        <w:t xml:space="preserve"> 6</w:t>
      </w:r>
      <w:r w:rsidR="00637197">
        <w:t xml:space="preserve"> </w:t>
      </w:r>
      <w:r w:rsidR="00682B83">
        <w:t xml:space="preserve">will give </w:t>
      </w:r>
      <w:r w:rsidR="00637197">
        <w:t xml:space="preserve">an estimate that is </w:t>
      </w:r>
      <w:r w:rsidR="004D2D9F">
        <w:rPr>
          <w:rFonts w:cstheme="minorHAnsi"/>
        </w:rPr>
        <w:t>±</w:t>
      </w:r>
      <w:r w:rsidR="00682B83">
        <w:t>1 NO for the district</w:t>
      </w:r>
      <w:r w:rsidR="00A1471F">
        <w:t>, which is sufficient precision</w:t>
      </w:r>
      <w:r w:rsidR="00682B83">
        <w:t xml:space="preserve"> to estimate </w:t>
      </w:r>
      <w:r w:rsidR="00A1471F">
        <w:t>the riparian</w:t>
      </w:r>
      <w:r w:rsidR="00682B83">
        <w:t xml:space="preserve"> condition to be within the range of two of the classes</w:t>
      </w:r>
      <w:r w:rsidR="00986951">
        <w:t xml:space="preserve"> (</w:t>
      </w:r>
      <w:r w:rsidR="002B6D58">
        <w:t>defined in earlier footnote</w:t>
      </w:r>
      <w:r w:rsidR="00986951">
        <w:t>)</w:t>
      </w:r>
      <w:r w:rsidR="00682B83">
        <w:t xml:space="preserve">. </w:t>
      </w:r>
      <w:r>
        <w:t xml:space="preserve">Even with substantially higher variance (e.g., 17), </w:t>
      </w:r>
      <w:r w:rsidR="00682B83">
        <w:t xml:space="preserve">5 or </w:t>
      </w:r>
      <w:r>
        <w:t xml:space="preserve">10 samples </w:t>
      </w:r>
      <w:r w:rsidR="00682B83">
        <w:t xml:space="preserve">would result in an estimates with a precision of </w:t>
      </w:r>
      <w:r w:rsidR="00986951">
        <w:rPr>
          <w:rFonts w:cstheme="minorHAnsi"/>
        </w:rPr>
        <w:t>±</w:t>
      </w:r>
      <w:r w:rsidR="00682B83">
        <w:t xml:space="preserve">2 or </w:t>
      </w:r>
      <w:r w:rsidR="00986951">
        <w:rPr>
          <w:rFonts w:cstheme="minorHAnsi"/>
        </w:rPr>
        <w:t>±</w:t>
      </w:r>
      <w:r w:rsidR="00682B83">
        <w:t xml:space="preserve">1.25, respectively. </w:t>
      </w:r>
      <w:r w:rsidR="00A1471F">
        <w:t>Although it would not be possible to distinguish between adjacent riparian condition classes, these estimates</w:t>
      </w:r>
      <w:r w:rsidR="00682B83">
        <w:t xml:space="preserve"> </w:t>
      </w:r>
      <w:r w:rsidR="00A1471F">
        <w:t>are</w:t>
      </w:r>
      <w:r w:rsidR="00682B83">
        <w:t xml:space="preserve"> st</w:t>
      </w:r>
      <w:r w:rsidR="00A1471F">
        <w:t xml:space="preserve">ill sufficiently precise to distinguish between the extremes. That is, if 5 samples result in an average of 6 NOs with high variance (e.g. 17), it will not be possible to conclude which of the three poorer performing classes is most accurate (i.e., 6 </w:t>
      </w:r>
      <w:r w:rsidR="00A1471F">
        <w:rPr>
          <w:rFonts w:cstheme="minorHAnsi"/>
        </w:rPr>
        <w:t>±</w:t>
      </w:r>
      <w:r w:rsidR="00A1471F">
        <w:t xml:space="preserve">2 NOs) but one can be confident that the true </w:t>
      </w:r>
      <w:r w:rsidR="00792636">
        <w:t>mean condition is</w:t>
      </w:r>
      <w:r w:rsidR="00A1471F">
        <w:t xml:space="preserve"> not “properly functioning”</w:t>
      </w:r>
      <w:r w:rsidR="00792636">
        <w:t xml:space="preserve"> (i.e., 0-2 NOs). Conversely, if the 5 samples resulted in an estimate of “properly functioning”, it would be imprecise but one would be confident that the true mean condition was not “not properly functioning”.</w:t>
      </w:r>
    </w:p>
    <w:p w:rsidR="00191CC4" w:rsidRDefault="00D5685B" w:rsidP="00FF64ED">
      <w:pPr>
        <w:keepNext/>
        <w:jc w:val="center"/>
      </w:pPr>
      <w:r>
        <w:rPr>
          <w:noProof/>
        </w:rPr>
        <w:lastRenderedPageBreak/>
        <w:drawing>
          <wp:inline distT="0" distB="0" distL="0" distR="0" wp14:anchorId="7FE680F8" wp14:editId="48EE9E75">
            <wp:extent cx="4005072" cy="274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4005072" cy="2743200"/>
                    </a:xfrm>
                    <a:prstGeom prst="rect">
                      <a:avLst/>
                    </a:prstGeom>
                  </pic:spPr>
                </pic:pic>
              </a:graphicData>
            </a:graphic>
          </wp:inline>
        </w:drawing>
      </w:r>
    </w:p>
    <w:p w:rsidR="00571FA6" w:rsidRDefault="00191CC4" w:rsidP="00191CC4">
      <w:pPr>
        <w:pStyle w:val="Caption"/>
      </w:pPr>
      <w:bookmarkStart w:id="19" w:name="_Ref437350401"/>
      <w:proofErr w:type="gramStart"/>
      <w:r>
        <w:t xml:space="preserve">Figure </w:t>
      </w:r>
      <w:r w:rsidR="00495B9B">
        <w:fldChar w:fldCharType="begin"/>
      </w:r>
      <w:r w:rsidR="002F6AE4">
        <w:instrText xml:space="preserve"> SEQ Figure \* ARABIC </w:instrText>
      </w:r>
      <w:r w:rsidR="00495B9B">
        <w:fldChar w:fldCharType="separate"/>
      </w:r>
      <w:r w:rsidR="005E13E6">
        <w:rPr>
          <w:noProof/>
        </w:rPr>
        <w:t>2</w:t>
      </w:r>
      <w:r w:rsidR="00495B9B">
        <w:rPr>
          <w:noProof/>
        </w:rPr>
        <w:fldChar w:fldCharType="end"/>
      </w:r>
      <w:bookmarkEnd w:id="19"/>
      <w:r>
        <w:t>.</w:t>
      </w:r>
      <w:proofErr w:type="gramEnd"/>
      <w:r>
        <w:tab/>
      </w:r>
      <w:proofErr w:type="gramStart"/>
      <w:r>
        <w:t xml:space="preserve">Exploring the relationship between absolute precision </w:t>
      </w:r>
      <w:r w:rsidR="00DE778C">
        <w:t xml:space="preserve">around the district estimate of the “number of NOs” (riparian value performance measure) </w:t>
      </w:r>
      <w:r>
        <w:t>and sample size for different levels of variance.</w:t>
      </w:r>
      <w:proofErr w:type="gramEnd"/>
      <w:r>
        <w:t xml:space="preserve"> </w:t>
      </w:r>
    </w:p>
    <w:p w:rsidR="002B6D58" w:rsidRPr="002B6D58" w:rsidRDefault="002B6D58" w:rsidP="002B118C">
      <w:pPr>
        <w:pStyle w:val="SubHead2"/>
      </w:pPr>
      <w:r>
        <w:t>Sample size and sampling fraction</w:t>
      </w:r>
    </w:p>
    <w:p w:rsidR="00792636" w:rsidRDefault="00792636" w:rsidP="00637197">
      <w:r>
        <w:t xml:space="preserve">The relative fraction of the population that is sampled is commonly misinterpreted to be a more important factor in determining precision than </w:t>
      </w:r>
      <w:r w:rsidR="00546F9F">
        <w:t xml:space="preserve">it </w:t>
      </w:r>
      <w:r>
        <w:t>tru</w:t>
      </w:r>
      <w:r w:rsidR="00546F9F">
        <w:t>ly is</w:t>
      </w:r>
      <w:r>
        <w:t xml:space="preserve">. </w:t>
      </w:r>
      <w:r w:rsidR="00637197">
        <w:t xml:space="preserve">Precision depends </w:t>
      </w:r>
      <w:r w:rsidR="002B6D58">
        <w:t>significantly</w:t>
      </w:r>
      <w:r w:rsidR="00637197">
        <w:t xml:space="preserve"> on the absolute sample size, and not on the relative frac</w:t>
      </w:r>
      <w:r>
        <w:t>tion of the population sampled</w:t>
      </w:r>
      <w:r w:rsidR="00E5778B">
        <w:rPr>
          <w:rStyle w:val="FootnoteReference"/>
        </w:rPr>
        <w:footnoteReference w:id="7"/>
      </w:r>
      <w:r>
        <w:t xml:space="preserve">. In </w:t>
      </w:r>
      <w:r w:rsidR="00495B9B">
        <w:fldChar w:fldCharType="begin"/>
      </w:r>
      <w:r>
        <w:instrText xml:space="preserve"> REF _Ref437352268 \h </w:instrText>
      </w:r>
      <w:r w:rsidR="00495B9B">
        <w:fldChar w:fldCharType="separate"/>
      </w:r>
      <w:r w:rsidR="005E13E6">
        <w:t xml:space="preserve">Figure </w:t>
      </w:r>
      <w:r w:rsidR="005E13E6">
        <w:rPr>
          <w:noProof/>
        </w:rPr>
        <w:t>3</w:t>
      </w:r>
      <w:r w:rsidR="00495B9B">
        <w:fldChar w:fldCharType="end"/>
      </w:r>
      <w:r>
        <w:t>, we show the</w:t>
      </w:r>
      <w:r w:rsidR="00637197">
        <w:t xml:space="preserve"> effect of sampling fraction, to demonstrate that the relative fraction of the population sampled has very little effect on the precision of the estimator (unless you sample all </w:t>
      </w:r>
      <w:proofErr w:type="spellStart"/>
      <w:r w:rsidR="00637197">
        <w:t>cutblocks</w:t>
      </w:r>
      <w:proofErr w:type="spellEnd"/>
      <w:r w:rsidR="00637197">
        <w:t xml:space="preserve"> within a strata, or close to it), but rather precision depends </w:t>
      </w:r>
      <w:r w:rsidR="00650F65">
        <w:t xml:space="preserve">predominantly </w:t>
      </w:r>
      <w:r w:rsidR="00637197">
        <w:t xml:space="preserve">on the absolute sample size. </w:t>
      </w:r>
      <w:r w:rsidR="00546F9F">
        <w:t>The sampling fraction, as represented by the different lines for different population sizes (N), has substantially less impact on the precision (i.e., percent of district mean) than increasing the sample size</w:t>
      </w:r>
      <w:r w:rsidR="00650F65">
        <w:t xml:space="preserve"> (until sample size is much larger and the sampling fraction starts to approach a census).</w:t>
      </w:r>
      <w:r w:rsidR="00546F9F">
        <w:t xml:space="preserve"> </w:t>
      </w:r>
    </w:p>
    <w:p w:rsidR="000D3B7D" w:rsidRDefault="00292D5F" w:rsidP="00FF64ED">
      <w:pPr>
        <w:keepNext/>
        <w:jc w:val="center"/>
      </w:pPr>
      <w:r>
        <w:rPr>
          <w:noProof/>
        </w:rPr>
        <w:lastRenderedPageBreak/>
        <w:drawing>
          <wp:inline distT="0" distB="0" distL="0" distR="0" wp14:anchorId="0541CBCB" wp14:editId="4833E3B1">
            <wp:extent cx="4059936"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4059936" cy="2743200"/>
                    </a:xfrm>
                    <a:prstGeom prst="rect">
                      <a:avLst/>
                    </a:prstGeom>
                  </pic:spPr>
                </pic:pic>
              </a:graphicData>
            </a:graphic>
          </wp:inline>
        </w:drawing>
      </w:r>
    </w:p>
    <w:p w:rsidR="00292D5F" w:rsidRDefault="000D3B7D" w:rsidP="000D3B7D">
      <w:pPr>
        <w:pStyle w:val="Caption"/>
      </w:pPr>
      <w:bookmarkStart w:id="20" w:name="_Ref437352268"/>
      <w:proofErr w:type="gramStart"/>
      <w:r>
        <w:t xml:space="preserve">Figure </w:t>
      </w:r>
      <w:r w:rsidR="00495B9B">
        <w:fldChar w:fldCharType="begin"/>
      </w:r>
      <w:r w:rsidR="002F6AE4">
        <w:instrText xml:space="preserve"> SEQ Figure \* ARABIC </w:instrText>
      </w:r>
      <w:r w:rsidR="00495B9B">
        <w:fldChar w:fldCharType="separate"/>
      </w:r>
      <w:r w:rsidR="005E13E6">
        <w:rPr>
          <w:noProof/>
        </w:rPr>
        <w:t>3</w:t>
      </w:r>
      <w:r w:rsidR="00495B9B">
        <w:rPr>
          <w:noProof/>
        </w:rPr>
        <w:fldChar w:fldCharType="end"/>
      </w:r>
      <w:bookmarkEnd w:id="20"/>
      <w:r>
        <w:t>.</w:t>
      </w:r>
      <w:proofErr w:type="gramEnd"/>
      <w:r>
        <w:tab/>
        <w:t xml:space="preserve">Exploring how </w:t>
      </w:r>
      <w:r w:rsidR="00191CC4">
        <w:t xml:space="preserve">sampling precision (i.e., estimate of the district mean as percent of district mean) varies with </w:t>
      </w:r>
      <w:r>
        <w:t>sample size and sampling fraction (</w:t>
      </w:r>
      <w:r w:rsidR="00191CC4">
        <w:t xml:space="preserve">i.e., proportion of the population sampled, n/N). </w:t>
      </w:r>
      <w:r w:rsidR="00DE778C">
        <w:t>The example uses the “number of NOs” from the riparian data</w:t>
      </w:r>
      <w:r w:rsidR="00DE778C" w:rsidRPr="00191CC4">
        <w:t xml:space="preserve"> </w:t>
      </w:r>
      <w:r w:rsidR="00DE778C">
        <w:t>as the performance measure.</w:t>
      </w:r>
      <w:r w:rsidR="0013572B">
        <w:t xml:space="preserve"> </w:t>
      </w:r>
      <w:r w:rsidR="004B1728">
        <w:t>“</w:t>
      </w:r>
      <w:r w:rsidR="00650F65">
        <w:t>Big N” is the population size.</w:t>
      </w:r>
    </w:p>
    <w:p w:rsidR="002B6D58" w:rsidRPr="002B6D58" w:rsidRDefault="002B6D58" w:rsidP="002B118C">
      <w:pPr>
        <w:pStyle w:val="SubHead2"/>
      </w:pPr>
      <w:r>
        <w:t>Sample size and standard error</w:t>
      </w:r>
    </w:p>
    <w:p w:rsidR="00546F9F" w:rsidRDefault="00495B9B" w:rsidP="00210D71">
      <w:r>
        <w:fldChar w:fldCharType="begin"/>
      </w:r>
      <w:r w:rsidR="00546F9F">
        <w:instrText xml:space="preserve"> REF _Ref437353624 \h </w:instrText>
      </w:r>
      <w:r>
        <w:fldChar w:fldCharType="separate"/>
      </w:r>
      <w:r w:rsidR="005E13E6">
        <w:t xml:space="preserve">Figure </w:t>
      </w:r>
      <w:r w:rsidR="005E13E6">
        <w:rPr>
          <w:noProof/>
        </w:rPr>
        <w:t>4</w:t>
      </w:r>
      <w:r>
        <w:fldChar w:fldCharType="end"/>
      </w:r>
      <w:r w:rsidR="00546F9F">
        <w:t xml:space="preserve"> provides an example of the relationship between sample size and standard error, in this case for an individual </w:t>
      </w:r>
      <w:r w:rsidR="00C20B13">
        <w:t xml:space="preserve">generic </w:t>
      </w:r>
      <w:r w:rsidR="00546F9F">
        <w:t xml:space="preserve">district. The standard error </w:t>
      </w:r>
      <w:r w:rsidR="00650F65">
        <w:t xml:space="preserve">(SE) </w:t>
      </w:r>
      <w:r w:rsidR="00546F9F">
        <w:t>measures</w:t>
      </w:r>
      <w:r w:rsidR="002F76ED">
        <w:t xml:space="preserve"> </w:t>
      </w:r>
      <w:r w:rsidR="00546F9F">
        <w:t xml:space="preserve">how variable the results of our survey would be if the survey were to be repeated. </w:t>
      </w:r>
      <w:r w:rsidR="00546F9F" w:rsidRPr="00546F9F">
        <w:t>Note that stand</w:t>
      </w:r>
      <w:r w:rsidR="002F14B7">
        <w:t>ard</w:t>
      </w:r>
      <w:r w:rsidR="00546F9F" w:rsidRPr="00546F9F">
        <w:t xml:space="preserve"> error decreases substantially with increasing sample size, even when sample size is still less than 10.</w:t>
      </w:r>
      <w:r w:rsidR="002F76ED">
        <w:t xml:space="preserve"> Even just increasing from a sample size of 3 to </w:t>
      </w:r>
      <w:r w:rsidR="00C20B13">
        <w:t xml:space="preserve">6 </w:t>
      </w:r>
      <w:r w:rsidR="002B6D58">
        <w:t>reduces the</w:t>
      </w:r>
      <w:r w:rsidR="002F76ED">
        <w:t xml:space="preserve"> standard error from </w:t>
      </w:r>
      <w:r w:rsidR="00C20B13">
        <w:t>approximately 4.3 to 3.7</w:t>
      </w:r>
      <w:r w:rsidR="002F76ED">
        <w:t xml:space="preserve">. The estimate based on a sample size of </w:t>
      </w:r>
      <w:r w:rsidR="00C20B13">
        <w:t xml:space="preserve">6 </w:t>
      </w:r>
      <w:proofErr w:type="spellStart"/>
      <w:r w:rsidR="002F76ED">
        <w:t>cutblocks</w:t>
      </w:r>
      <w:proofErr w:type="spellEnd"/>
      <w:r w:rsidR="002F76ED">
        <w:t xml:space="preserve"> is not as precise as those based on higher sample sizes, but it is still an improvement from estimates based on fewer samples. The estimates with lower sample size are less precise but they still provide information.</w:t>
      </w:r>
    </w:p>
    <w:p w:rsidR="00292D5F" w:rsidRDefault="001267D7" w:rsidP="00FF64ED">
      <w:pPr>
        <w:keepNext/>
        <w:jc w:val="center"/>
      </w:pPr>
      <w:r w:rsidRPr="001267D7">
        <w:rPr>
          <w:noProof/>
        </w:rPr>
        <w:t xml:space="preserve"> </w:t>
      </w:r>
      <w:r>
        <w:rPr>
          <w:noProof/>
        </w:rPr>
        <w:drawing>
          <wp:inline distT="0" distB="0" distL="0" distR="0" wp14:anchorId="09B2D8F1" wp14:editId="2D394EA6">
            <wp:extent cx="2829977" cy="2355450"/>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t="1" b="-4207"/>
                    <a:stretch/>
                  </pic:blipFill>
                  <pic:spPr bwMode="auto">
                    <a:xfrm>
                      <a:off x="0" y="0"/>
                      <a:ext cx="2830804" cy="2356139"/>
                    </a:xfrm>
                    <a:prstGeom prst="rect">
                      <a:avLst/>
                    </a:prstGeom>
                    <a:ln>
                      <a:noFill/>
                    </a:ln>
                    <a:extLst>
                      <a:ext uri="{53640926-AAD7-44D8-BBD7-CCE9431645EC}">
                        <a14:shadowObscured xmlns:a14="http://schemas.microsoft.com/office/drawing/2010/main"/>
                      </a:ext>
                    </a:extLst>
                  </pic:spPr>
                </pic:pic>
              </a:graphicData>
            </a:graphic>
          </wp:inline>
        </w:drawing>
      </w:r>
      <w:r w:rsidR="00D5685B" w:rsidRPr="00D5685B">
        <w:rPr>
          <w:noProof/>
        </w:rPr>
        <w:t xml:space="preserve"> </w:t>
      </w:r>
    </w:p>
    <w:p w:rsidR="00292D5F" w:rsidRDefault="00292D5F" w:rsidP="00292D5F">
      <w:pPr>
        <w:pStyle w:val="Caption"/>
      </w:pPr>
      <w:bookmarkStart w:id="21" w:name="_Ref437353624"/>
      <w:proofErr w:type="gramStart"/>
      <w:r>
        <w:t xml:space="preserve">Figure </w:t>
      </w:r>
      <w:r w:rsidR="00495B9B">
        <w:fldChar w:fldCharType="begin"/>
      </w:r>
      <w:r w:rsidR="002F6AE4">
        <w:instrText xml:space="preserve"> SEQ Figure \* ARABIC </w:instrText>
      </w:r>
      <w:r w:rsidR="00495B9B">
        <w:fldChar w:fldCharType="separate"/>
      </w:r>
      <w:r w:rsidR="005E13E6">
        <w:rPr>
          <w:noProof/>
        </w:rPr>
        <w:t>4</w:t>
      </w:r>
      <w:r w:rsidR="00495B9B">
        <w:rPr>
          <w:noProof/>
        </w:rPr>
        <w:fldChar w:fldCharType="end"/>
      </w:r>
      <w:bookmarkEnd w:id="21"/>
      <w:r w:rsidR="00546F9F">
        <w:t>.</w:t>
      </w:r>
      <w:proofErr w:type="gramEnd"/>
      <w:r w:rsidR="00546F9F">
        <w:tab/>
      </w:r>
      <w:proofErr w:type="gramStart"/>
      <w:r>
        <w:t>A</w:t>
      </w:r>
      <w:r w:rsidR="00DE1C89">
        <w:t xml:space="preserve"> </w:t>
      </w:r>
      <w:r w:rsidR="00B0030A">
        <w:t xml:space="preserve">generic </w:t>
      </w:r>
      <w:r w:rsidR="00DE1C89">
        <w:t>district-specific example of the relationship between the precision of the estimator (standard error) and sample size.</w:t>
      </w:r>
      <w:proofErr w:type="gramEnd"/>
      <w:r w:rsidR="00DE1C89">
        <w:t xml:space="preserve"> </w:t>
      </w:r>
      <w:r w:rsidR="000D3B7D">
        <w:t>Th</w:t>
      </w:r>
      <w:r w:rsidR="00626D5B">
        <w:t>is</w:t>
      </w:r>
      <w:r w:rsidR="000D3B7D">
        <w:t xml:space="preserve"> </w:t>
      </w:r>
      <w:r w:rsidR="00626D5B">
        <w:t>example</w:t>
      </w:r>
      <w:r w:rsidR="00DE778C">
        <w:t xml:space="preserve"> uses the “number of NOs” from the riparian data</w:t>
      </w:r>
      <w:r w:rsidR="00DE778C" w:rsidRPr="00191CC4">
        <w:t xml:space="preserve"> </w:t>
      </w:r>
      <w:r w:rsidR="00DE778C">
        <w:t>as the performance measure.</w:t>
      </w:r>
    </w:p>
    <w:p w:rsidR="00FA19E4" w:rsidRPr="00FA19E4" w:rsidRDefault="00FA19E4" w:rsidP="002B118C">
      <w:pPr>
        <w:pStyle w:val="SubHead1"/>
      </w:pPr>
      <w:r>
        <w:lastRenderedPageBreak/>
        <w:t xml:space="preserve">Examples of </w:t>
      </w:r>
      <w:r w:rsidR="00650F65">
        <w:t xml:space="preserve">precision </w:t>
      </w:r>
      <w:r>
        <w:t xml:space="preserve">vs. </w:t>
      </w:r>
      <w:r w:rsidR="00650F65">
        <w:t xml:space="preserve">sample size </w:t>
      </w:r>
      <w:r>
        <w:t xml:space="preserve">for a </w:t>
      </w:r>
      <w:r w:rsidR="00650F65">
        <w:t>proportional pass</w:t>
      </w:r>
      <w:r>
        <w:t>/</w:t>
      </w:r>
      <w:r w:rsidR="00650F65">
        <w:t>fail metric</w:t>
      </w:r>
    </w:p>
    <w:p w:rsidR="007838AD" w:rsidRDefault="00FA19E4" w:rsidP="007838AD">
      <w:r>
        <w:t xml:space="preserve">Below is an example of the relationship between precision and sample size for </w:t>
      </w:r>
      <w:r w:rsidR="00D91BCB">
        <w:t xml:space="preserve">a proportional pass/fail metric. For example, various measures of resource condition </w:t>
      </w:r>
      <w:r w:rsidR="007745BA">
        <w:t>might</w:t>
      </w:r>
      <w:r w:rsidR="00D91BCB">
        <w:t xml:space="preserve"> be rolled up into an indicator used to estimate the proportion of the population in “red” or “green” condition. </w:t>
      </w:r>
      <w:r w:rsidR="00495B9B">
        <w:fldChar w:fldCharType="begin"/>
      </w:r>
      <w:r w:rsidR="00D91BCB">
        <w:instrText xml:space="preserve"> REF _Ref436922960 \h </w:instrText>
      </w:r>
      <w:r w:rsidR="00495B9B">
        <w:fldChar w:fldCharType="separate"/>
      </w:r>
      <w:r w:rsidR="005E13E6">
        <w:t xml:space="preserve">Table </w:t>
      </w:r>
      <w:r w:rsidR="005E13E6">
        <w:rPr>
          <w:noProof/>
        </w:rPr>
        <w:t>3</w:t>
      </w:r>
      <w:r w:rsidR="00495B9B">
        <w:fldChar w:fldCharType="end"/>
      </w:r>
      <w:r w:rsidR="00D91BCB">
        <w:t xml:space="preserve"> shows the number of samples </w:t>
      </w:r>
      <w:r w:rsidR="00D91BCB" w:rsidRPr="00637197">
        <w:t xml:space="preserve">required to estimate the proportion of sites in </w:t>
      </w:r>
      <w:r w:rsidR="00D91BCB">
        <w:t>pass or fail</w:t>
      </w:r>
      <w:r w:rsidR="00D91BCB" w:rsidRPr="00637197">
        <w:t xml:space="preserve"> condition </w:t>
      </w:r>
      <w:r w:rsidR="007745BA">
        <w:t>for</w:t>
      </w:r>
      <w:r w:rsidR="00D91BCB" w:rsidRPr="00637197">
        <w:t xml:space="preserve"> both 90% and 95% </w:t>
      </w:r>
      <w:r w:rsidR="00D91BCB">
        <w:t>c</w:t>
      </w:r>
      <w:r w:rsidR="00D91BCB" w:rsidRPr="00637197">
        <w:t xml:space="preserve">onfidence </w:t>
      </w:r>
      <w:r w:rsidR="00D91BCB">
        <w:t>l</w:t>
      </w:r>
      <w:r w:rsidR="00D91BCB" w:rsidRPr="00637197">
        <w:t xml:space="preserve">evels and </w:t>
      </w:r>
      <w:r w:rsidR="00D91BCB">
        <w:t xml:space="preserve">confidence interval </w:t>
      </w:r>
      <w:r w:rsidR="00D91BCB" w:rsidRPr="00637197">
        <w:t xml:space="preserve">widths ranging from </w:t>
      </w:r>
      <w:r w:rsidR="007745BA">
        <w:rPr>
          <w:rFonts w:cstheme="minorHAnsi"/>
        </w:rPr>
        <w:t>±</w:t>
      </w:r>
      <w:r w:rsidR="00D91BCB" w:rsidRPr="00637197">
        <w:t xml:space="preserve">0.05 to </w:t>
      </w:r>
      <w:r w:rsidR="007745BA">
        <w:rPr>
          <w:rFonts w:cstheme="minorHAnsi"/>
        </w:rPr>
        <w:t>±</w:t>
      </w:r>
      <w:r w:rsidR="00D91BCB" w:rsidRPr="00637197">
        <w:t>0.15</w:t>
      </w:r>
      <w:r w:rsidR="0072798A">
        <w:t>, as calculated for different proportions</w:t>
      </w:r>
      <w:r w:rsidR="007838AD">
        <w:rPr>
          <w:rStyle w:val="FootnoteReference"/>
        </w:rPr>
        <w:footnoteReference w:id="8"/>
      </w:r>
      <w:r w:rsidR="00A02326">
        <w:t xml:space="preserve">. </w:t>
      </w:r>
    </w:p>
    <w:p w:rsidR="00D91BCB" w:rsidRDefault="0072798A" w:rsidP="00D91BCB">
      <w:r>
        <w:t>The c</w:t>
      </w:r>
      <w:r w:rsidR="00D91BCB" w:rsidRPr="00637197">
        <w:t xml:space="preserve">alculations </w:t>
      </w:r>
      <w:r w:rsidR="00A141BF">
        <w:t xml:space="preserve">for </w:t>
      </w:r>
      <w:r>
        <w:t>a</w:t>
      </w:r>
      <w:r w:rsidR="00D91BCB" w:rsidRPr="00637197">
        <w:t xml:space="preserve"> proportion</w:t>
      </w:r>
      <w:r>
        <w:t xml:space="preserve"> of</w:t>
      </w:r>
      <w:r w:rsidR="00D91BCB" w:rsidRPr="00637197">
        <w:t xml:space="preserve"> </w:t>
      </w:r>
      <w:r w:rsidR="00D91BCB" w:rsidRPr="00A141BF">
        <w:rPr>
          <w:i/>
        </w:rPr>
        <w:t>p</w:t>
      </w:r>
      <w:r w:rsidR="00D91BCB" w:rsidRPr="00637197">
        <w:t xml:space="preserve">=0.5 </w:t>
      </w:r>
      <w:r>
        <w:t>provide the most c</w:t>
      </w:r>
      <w:r w:rsidR="00D91BCB" w:rsidRPr="00637197">
        <w:t xml:space="preserve">onservative estimate. </w:t>
      </w:r>
      <w:r w:rsidR="00D91BCB">
        <w:t xml:space="preserve">That is, </w:t>
      </w:r>
      <w:r>
        <w:t>when</w:t>
      </w:r>
      <w:r w:rsidR="00D91BCB">
        <w:t xml:space="preserve"> the proportion is closer to 0.0 or 1.0, then the sample size required for a given confidence level and confidence interval width </w:t>
      </w:r>
      <w:r w:rsidR="007838AD">
        <w:t>is</w:t>
      </w:r>
      <w:r w:rsidR="00D91BCB">
        <w:t xml:space="preserve"> less</w:t>
      </w:r>
      <w:r>
        <w:t xml:space="preserve">, as demonstrated for </w:t>
      </w:r>
      <w:r w:rsidRPr="00A141BF">
        <w:rPr>
          <w:i/>
        </w:rPr>
        <w:t>p</w:t>
      </w:r>
      <w:r>
        <w:t>=0.2</w:t>
      </w:r>
      <w:r w:rsidR="00166C48">
        <w:t>, 0.</w:t>
      </w:r>
      <w:r w:rsidR="00A141BF">
        <w:t>8 (i.e., the calculation is the same for these two proportions)</w:t>
      </w:r>
      <w:r w:rsidR="00D91BCB">
        <w:t xml:space="preserve">. The </w:t>
      </w:r>
      <w:r w:rsidR="00A02326">
        <w:t xml:space="preserve">results show </w:t>
      </w:r>
      <w:r w:rsidR="00166C48">
        <w:t xml:space="preserve">that </w:t>
      </w:r>
      <w:r w:rsidR="00F455B8">
        <w:t xml:space="preserve">to achieve </w:t>
      </w:r>
      <w:r w:rsidR="00166C48">
        <w:t>the highest level of precision</w:t>
      </w:r>
      <w:r w:rsidR="00F455B8">
        <w:t xml:space="preserve"> when p=0.5</w:t>
      </w:r>
      <w:r w:rsidR="00DA3AB7">
        <w:t xml:space="preserve"> </w:t>
      </w:r>
      <w:r w:rsidR="00F455B8">
        <w:t>(i.e., 95% CI and CI width of 0.05)</w:t>
      </w:r>
      <w:r w:rsidR="00DA3AB7">
        <w:t>,</w:t>
      </w:r>
      <w:r w:rsidR="00F455B8">
        <w:t xml:space="preserve"> </w:t>
      </w:r>
      <w:r w:rsidR="00166C48">
        <w:t>a large sample size</w:t>
      </w:r>
      <w:r w:rsidR="00F455B8">
        <w:t xml:space="preserve"> (n=385) is required</w:t>
      </w:r>
      <w:r w:rsidR="00166C48">
        <w:t>, but substantially fewer samples are required if one accepts a</w:t>
      </w:r>
      <w:r w:rsidR="00F455B8">
        <w:t xml:space="preserve"> slightly</w:t>
      </w:r>
      <w:r w:rsidR="00166C48">
        <w:t xml:space="preserve"> lower confidence level or wider confidence inte</w:t>
      </w:r>
      <w:r w:rsidR="00F94758">
        <w:t xml:space="preserve">rvals. That means that estimates based on lower sample sizes will be less precise, but they still provide </w:t>
      </w:r>
      <w:r w:rsidR="00A141BF">
        <w:t>useful</w:t>
      </w:r>
      <w:r w:rsidR="00F94758">
        <w:t xml:space="preserve"> information.</w:t>
      </w:r>
    </w:p>
    <w:p w:rsidR="00D91BCB" w:rsidRDefault="00D91BCB" w:rsidP="005A2A7B">
      <w:pPr>
        <w:pStyle w:val="Caption"/>
        <w:keepNext/>
      </w:pPr>
      <w:bookmarkStart w:id="22" w:name="_Ref436922960"/>
      <w:proofErr w:type="gramStart"/>
      <w:r>
        <w:t xml:space="preserve">Table </w:t>
      </w:r>
      <w:r w:rsidR="00495B9B">
        <w:fldChar w:fldCharType="begin"/>
      </w:r>
      <w:r w:rsidR="002F6AE4">
        <w:instrText xml:space="preserve"> SEQ Table \* ARABIC </w:instrText>
      </w:r>
      <w:r w:rsidR="00495B9B">
        <w:fldChar w:fldCharType="separate"/>
      </w:r>
      <w:r w:rsidR="005E13E6">
        <w:rPr>
          <w:noProof/>
        </w:rPr>
        <w:t>3</w:t>
      </w:r>
      <w:r w:rsidR="00495B9B">
        <w:rPr>
          <w:noProof/>
        </w:rPr>
        <w:fldChar w:fldCharType="end"/>
      </w:r>
      <w:bookmarkEnd w:id="22"/>
      <w:r>
        <w:t>.</w:t>
      </w:r>
      <w:proofErr w:type="gramEnd"/>
      <w:r w:rsidR="00E76880">
        <w:tab/>
      </w:r>
      <w:r>
        <w:t>Number of samples required to estimate the proportion of pass/fail sites with different confidence levels and widths</w:t>
      </w:r>
      <w:r w:rsidR="0072798A">
        <w:t xml:space="preserve">, assuming different </w:t>
      </w:r>
      <w:r w:rsidR="00F455B8">
        <w:t xml:space="preserve">true </w:t>
      </w:r>
      <w:r w:rsidR="0072798A">
        <w:t>proportions</w:t>
      </w:r>
      <w:r>
        <w:t>.</w:t>
      </w:r>
    </w:p>
    <w:tbl>
      <w:tblPr>
        <w:tblStyle w:val="TableGrid"/>
        <w:tblW w:w="0" w:type="auto"/>
        <w:jc w:val="center"/>
        <w:tblLayout w:type="fixed"/>
        <w:tblLook w:val="04A0" w:firstRow="1" w:lastRow="0" w:firstColumn="1" w:lastColumn="0" w:noHBand="0" w:noVBand="1"/>
      </w:tblPr>
      <w:tblGrid>
        <w:gridCol w:w="1818"/>
        <w:gridCol w:w="774"/>
        <w:gridCol w:w="774"/>
        <w:gridCol w:w="774"/>
        <w:gridCol w:w="774"/>
        <w:gridCol w:w="774"/>
      </w:tblGrid>
      <w:tr w:rsidR="00CA7442" w:rsidRPr="00FF64ED" w:rsidTr="00FF64ED">
        <w:trPr>
          <w:jc w:val="center"/>
        </w:trPr>
        <w:tc>
          <w:tcPr>
            <w:tcW w:w="1818" w:type="dxa"/>
            <w:shd w:val="clear" w:color="auto" w:fill="A6A6A6" w:themeFill="background1" w:themeFillShade="A6"/>
          </w:tcPr>
          <w:p w:rsidR="00CA7442" w:rsidRPr="00FF64ED" w:rsidRDefault="00CA7442" w:rsidP="005A2A7B">
            <w:pPr>
              <w:keepNext/>
              <w:rPr>
                <w:b/>
                <w:i/>
                <w:sz w:val="20"/>
              </w:rPr>
            </w:pPr>
            <w:r w:rsidRPr="00FF64ED">
              <w:rPr>
                <w:b/>
                <w:i/>
                <w:sz w:val="20"/>
              </w:rPr>
              <w:t>For p=0.5</w:t>
            </w:r>
          </w:p>
        </w:tc>
        <w:tc>
          <w:tcPr>
            <w:tcW w:w="3870" w:type="dxa"/>
            <w:gridSpan w:val="5"/>
            <w:shd w:val="clear" w:color="auto" w:fill="A6A6A6" w:themeFill="background1" w:themeFillShade="A6"/>
          </w:tcPr>
          <w:p w:rsidR="00CA7442" w:rsidRPr="00FF64ED" w:rsidRDefault="00CA7442" w:rsidP="005A2A7B">
            <w:pPr>
              <w:keepNext/>
              <w:rPr>
                <w:b/>
                <w:sz w:val="20"/>
              </w:rPr>
            </w:pPr>
            <w:r w:rsidRPr="00FF64ED">
              <w:rPr>
                <w:b/>
                <w:sz w:val="20"/>
              </w:rPr>
              <w:t>Confidence Interval Width</w:t>
            </w:r>
          </w:p>
        </w:tc>
      </w:tr>
      <w:tr w:rsidR="00CA7442" w:rsidRPr="00FF64ED" w:rsidTr="00FF64ED">
        <w:trPr>
          <w:jc w:val="center"/>
        </w:trPr>
        <w:tc>
          <w:tcPr>
            <w:tcW w:w="1818" w:type="dxa"/>
            <w:shd w:val="clear" w:color="auto" w:fill="A6A6A6" w:themeFill="background1" w:themeFillShade="A6"/>
          </w:tcPr>
          <w:p w:rsidR="00CA7442" w:rsidRPr="00FF64ED" w:rsidRDefault="00CA7442" w:rsidP="005A2A7B">
            <w:pPr>
              <w:keepNext/>
              <w:rPr>
                <w:b/>
                <w:sz w:val="20"/>
              </w:rPr>
            </w:pPr>
            <w:r w:rsidRPr="00FF64ED">
              <w:rPr>
                <w:b/>
                <w:sz w:val="20"/>
              </w:rPr>
              <w:t>Confidence Level</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0.05</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0.1</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0.15</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0.2</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0.3</w:t>
            </w:r>
          </w:p>
        </w:tc>
      </w:tr>
      <w:tr w:rsidR="00CA7442" w:rsidRPr="00FF64ED" w:rsidTr="00FF64ED">
        <w:trPr>
          <w:jc w:val="center"/>
        </w:trPr>
        <w:tc>
          <w:tcPr>
            <w:tcW w:w="1818" w:type="dxa"/>
            <w:shd w:val="clear" w:color="auto" w:fill="D9D9D9" w:themeFill="background1" w:themeFillShade="D9"/>
          </w:tcPr>
          <w:p w:rsidR="00CA7442" w:rsidRPr="00FF64ED" w:rsidRDefault="00CA7442" w:rsidP="005A2A7B">
            <w:pPr>
              <w:keepNext/>
              <w:rPr>
                <w:b/>
                <w:sz w:val="20"/>
              </w:rPr>
            </w:pPr>
            <w:r w:rsidRPr="00FF64ED">
              <w:rPr>
                <w:b/>
                <w:sz w:val="20"/>
              </w:rPr>
              <w:t>95% CI</w:t>
            </w:r>
          </w:p>
        </w:tc>
        <w:tc>
          <w:tcPr>
            <w:tcW w:w="774" w:type="dxa"/>
          </w:tcPr>
          <w:p w:rsidR="00CA7442" w:rsidRPr="00FF64ED" w:rsidRDefault="00CA7442" w:rsidP="005A2A7B">
            <w:pPr>
              <w:keepNext/>
              <w:rPr>
                <w:sz w:val="20"/>
              </w:rPr>
            </w:pPr>
            <w:r w:rsidRPr="00FF64ED">
              <w:rPr>
                <w:sz w:val="20"/>
              </w:rPr>
              <w:t>385</w:t>
            </w:r>
          </w:p>
        </w:tc>
        <w:tc>
          <w:tcPr>
            <w:tcW w:w="774" w:type="dxa"/>
          </w:tcPr>
          <w:p w:rsidR="00CA7442" w:rsidRPr="00FF64ED" w:rsidRDefault="00CA7442" w:rsidP="005A2A7B">
            <w:pPr>
              <w:keepNext/>
              <w:rPr>
                <w:sz w:val="20"/>
              </w:rPr>
            </w:pPr>
            <w:r w:rsidRPr="00FF64ED">
              <w:rPr>
                <w:sz w:val="20"/>
              </w:rPr>
              <w:t>97</w:t>
            </w:r>
          </w:p>
        </w:tc>
        <w:tc>
          <w:tcPr>
            <w:tcW w:w="774" w:type="dxa"/>
          </w:tcPr>
          <w:p w:rsidR="00CA7442" w:rsidRPr="00FF64ED" w:rsidRDefault="00CA7442" w:rsidP="005A2A7B">
            <w:pPr>
              <w:keepNext/>
              <w:rPr>
                <w:sz w:val="20"/>
              </w:rPr>
            </w:pPr>
            <w:r w:rsidRPr="00FF64ED">
              <w:rPr>
                <w:sz w:val="20"/>
              </w:rPr>
              <w:t>43</w:t>
            </w:r>
          </w:p>
        </w:tc>
        <w:tc>
          <w:tcPr>
            <w:tcW w:w="774" w:type="dxa"/>
          </w:tcPr>
          <w:p w:rsidR="00CA7442" w:rsidRPr="00FF64ED" w:rsidRDefault="00CA7442" w:rsidP="005A2A7B">
            <w:pPr>
              <w:keepNext/>
              <w:rPr>
                <w:sz w:val="20"/>
              </w:rPr>
            </w:pPr>
            <w:r w:rsidRPr="00FF64ED">
              <w:rPr>
                <w:sz w:val="20"/>
              </w:rPr>
              <w:t>25</w:t>
            </w:r>
          </w:p>
        </w:tc>
        <w:tc>
          <w:tcPr>
            <w:tcW w:w="774" w:type="dxa"/>
          </w:tcPr>
          <w:p w:rsidR="00CA7442" w:rsidRPr="00FF64ED" w:rsidRDefault="00CA7442" w:rsidP="005A2A7B">
            <w:pPr>
              <w:keepNext/>
              <w:rPr>
                <w:sz w:val="20"/>
              </w:rPr>
            </w:pPr>
            <w:r w:rsidRPr="00FF64ED">
              <w:rPr>
                <w:sz w:val="20"/>
              </w:rPr>
              <w:t>11</w:t>
            </w:r>
          </w:p>
        </w:tc>
      </w:tr>
      <w:tr w:rsidR="00CA7442" w:rsidRPr="00FF64ED" w:rsidTr="00FF64ED">
        <w:trPr>
          <w:jc w:val="center"/>
        </w:trPr>
        <w:tc>
          <w:tcPr>
            <w:tcW w:w="1818" w:type="dxa"/>
            <w:shd w:val="clear" w:color="auto" w:fill="D9D9D9" w:themeFill="background1" w:themeFillShade="D9"/>
          </w:tcPr>
          <w:p w:rsidR="00CA7442" w:rsidRPr="00FF64ED" w:rsidRDefault="00CA7442" w:rsidP="005A2A7B">
            <w:pPr>
              <w:keepNext/>
              <w:rPr>
                <w:b/>
                <w:sz w:val="20"/>
              </w:rPr>
            </w:pPr>
            <w:r w:rsidRPr="00FF64ED">
              <w:rPr>
                <w:b/>
                <w:sz w:val="20"/>
              </w:rPr>
              <w:t>90% CI</w:t>
            </w:r>
          </w:p>
        </w:tc>
        <w:tc>
          <w:tcPr>
            <w:tcW w:w="774" w:type="dxa"/>
          </w:tcPr>
          <w:p w:rsidR="00CA7442" w:rsidRPr="00FF64ED" w:rsidRDefault="00CA7442" w:rsidP="005A2A7B">
            <w:pPr>
              <w:keepNext/>
              <w:rPr>
                <w:sz w:val="20"/>
              </w:rPr>
            </w:pPr>
            <w:r w:rsidRPr="00FF64ED">
              <w:rPr>
                <w:sz w:val="20"/>
              </w:rPr>
              <w:t>271</w:t>
            </w:r>
          </w:p>
        </w:tc>
        <w:tc>
          <w:tcPr>
            <w:tcW w:w="774" w:type="dxa"/>
          </w:tcPr>
          <w:p w:rsidR="00CA7442" w:rsidRPr="00FF64ED" w:rsidRDefault="00CA7442" w:rsidP="005A2A7B">
            <w:pPr>
              <w:keepNext/>
              <w:rPr>
                <w:sz w:val="20"/>
              </w:rPr>
            </w:pPr>
            <w:r w:rsidRPr="00FF64ED">
              <w:rPr>
                <w:sz w:val="20"/>
              </w:rPr>
              <w:t>68</w:t>
            </w:r>
          </w:p>
        </w:tc>
        <w:tc>
          <w:tcPr>
            <w:tcW w:w="774" w:type="dxa"/>
          </w:tcPr>
          <w:p w:rsidR="00CA7442" w:rsidRPr="00FF64ED" w:rsidRDefault="00CA7442" w:rsidP="005A2A7B">
            <w:pPr>
              <w:keepNext/>
              <w:rPr>
                <w:sz w:val="20"/>
              </w:rPr>
            </w:pPr>
            <w:r w:rsidRPr="00FF64ED">
              <w:rPr>
                <w:sz w:val="20"/>
              </w:rPr>
              <w:t>31</w:t>
            </w:r>
          </w:p>
        </w:tc>
        <w:tc>
          <w:tcPr>
            <w:tcW w:w="774" w:type="dxa"/>
          </w:tcPr>
          <w:p w:rsidR="00CA7442" w:rsidRPr="00FF64ED" w:rsidRDefault="00CA7442" w:rsidP="005A2A7B">
            <w:pPr>
              <w:keepNext/>
              <w:rPr>
                <w:sz w:val="20"/>
              </w:rPr>
            </w:pPr>
            <w:r w:rsidRPr="00FF64ED">
              <w:rPr>
                <w:sz w:val="20"/>
              </w:rPr>
              <w:t>17</w:t>
            </w:r>
          </w:p>
        </w:tc>
        <w:tc>
          <w:tcPr>
            <w:tcW w:w="774" w:type="dxa"/>
          </w:tcPr>
          <w:p w:rsidR="00CA7442" w:rsidRPr="00FF64ED" w:rsidRDefault="00CA7442" w:rsidP="005A2A7B">
            <w:pPr>
              <w:keepNext/>
              <w:rPr>
                <w:sz w:val="20"/>
              </w:rPr>
            </w:pPr>
            <w:r w:rsidRPr="00FF64ED">
              <w:rPr>
                <w:sz w:val="20"/>
              </w:rPr>
              <w:t>8</w:t>
            </w:r>
          </w:p>
        </w:tc>
      </w:tr>
      <w:tr w:rsidR="00CA7442" w:rsidRPr="00FF64ED" w:rsidTr="00FF64ED">
        <w:trPr>
          <w:jc w:val="center"/>
        </w:trPr>
        <w:tc>
          <w:tcPr>
            <w:tcW w:w="1818" w:type="dxa"/>
            <w:shd w:val="clear" w:color="auto" w:fill="A6A6A6" w:themeFill="background1" w:themeFillShade="A6"/>
          </w:tcPr>
          <w:p w:rsidR="00CA7442" w:rsidRPr="00FF64ED" w:rsidRDefault="00CA7442" w:rsidP="005A2A7B">
            <w:pPr>
              <w:keepNext/>
              <w:rPr>
                <w:b/>
                <w:i/>
                <w:sz w:val="20"/>
              </w:rPr>
            </w:pPr>
            <w:r w:rsidRPr="00FF64ED">
              <w:rPr>
                <w:b/>
                <w:i/>
                <w:sz w:val="20"/>
              </w:rPr>
              <w:t>For p=0.2, 0.8</w:t>
            </w:r>
          </w:p>
        </w:tc>
        <w:tc>
          <w:tcPr>
            <w:tcW w:w="3870" w:type="dxa"/>
            <w:gridSpan w:val="5"/>
            <w:shd w:val="clear" w:color="auto" w:fill="A6A6A6" w:themeFill="background1" w:themeFillShade="A6"/>
          </w:tcPr>
          <w:p w:rsidR="00CA7442" w:rsidRPr="00FF64ED" w:rsidRDefault="00CA7442" w:rsidP="005A2A7B">
            <w:pPr>
              <w:keepNext/>
              <w:rPr>
                <w:b/>
                <w:sz w:val="20"/>
              </w:rPr>
            </w:pPr>
            <w:r w:rsidRPr="00FF64ED">
              <w:rPr>
                <w:b/>
                <w:sz w:val="20"/>
              </w:rPr>
              <w:t>Confidence Interval Width</w:t>
            </w:r>
          </w:p>
        </w:tc>
      </w:tr>
      <w:tr w:rsidR="00CA7442" w:rsidRPr="00FF64ED" w:rsidTr="00FF64ED">
        <w:trPr>
          <w:jc w:val="center"/>
        </w:trPr>
        <w:tc>
          <w:tcPr>
            <w:tcW w:w="1818" w:type="dxa"/>
            <w:shd w:val="clear" w:color="auto" w:fill="A6A6A6" w:themeFill="background1" w:themeFillShade="A6"/>
          </w:tcPr>
          <w:p w:rsidR="00CA7442" w:rsidRPr="00FF64ED" w:rsidRDefault="00CA7442" w:rsidP="005A2A7B">
            <w:pPr>
              <w:keepNext/>
              <w:rPr>
                <w:b/>
                <w:sz w:val="20"/>
              </w:rPr>
            </w:pPr>
            <w:r w:rsidRPr="00FF64ED">
              <w:rPr>
                <w:b/>
                <w:sz w:val="20"/>
              </w:rPr>
              <w:t>Confidence Level</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0.05</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0.1</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0.15</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0.2</w:t>
            </w:r>
          </w:p>
        </w:tc>
        <w:tc>
          <w:tcPr>
            <w:tcW w:w="774" w:type="dxa"/>
            <w:shd w:val="clear" w:color="auto" w:fill="D9D9D9" w:themeFill="background1" w:themeFillShade="D9"/>
          </w:tcPr>
          <w:p w:rsidR="00CA7442" w:rsidRPr="00FF64ED" w:rsidRDefault="00CA7442" w:rsidP="005A2A7B">
            <w:pPr>
              <w:keepNext/>
              <w:rPr>
                <w:b/>
                <w:sz w:val="20"/>
              </w:rPr>
            </w:pPr>
            <w:r w:rsidRPr="00FF64ED">
              <w:rPr>
                <w:b/>
                <w:sz w:val="20"/>
              </w:rPr>
              <w:t>0.3</w:t>
            </w:r>
          </w:p>
        </w:tc>
      </w:tr>
      <w:tr w:rsidR="00CA7442" w:rsidRPr="00FF64ED" w:rsidTr="00FF64ED">
        <w:trPr>
          <w:jc w:val="center"/>
        </w:trPr>
        <w:tc>
          <w:tcPr>
            <w:tcW w:w="1818" w:type="dxa"/>
            <w:shd w:val="clear" w:color="auto" w:fill="D9D9D9" w:themeFill="background1" w:themeFillShade="D9"/>
          </w:tcPr>
          <w:p w:rsidR="00CA7442" w:rsidRPr="00FF64ED" w:rsidRDefault="00CA7442" w:rsidP="005A2A7B">
            <w:pPr>
              <w:keepNext/>
              <w:rPr>
                <w:b/>
                <w:sz w:val="20"/>
              </w:rPr>
            </w:pPr>
            <w:r w:rsidRPr="00FF64ED">
              <w:rPr>
                <w:b/>
                <w:sz w:val="20"/>
              </w:rPr>
              <w:t>95% CI</w:t>
            </w:r>
          </w:p>
        </w:tc>
        <w:tc>
          <w:tcPr>
            <w:tcW w:w="774" w:type="dxa"/>
          </w:tcPr>
          <w:p w:rsidR="00CA7442" w:rsidRPr="00FF64ED" w:rsidRDefault="00CA7442" w:rsidP="005A2A7B">
            <w:pPr>
              <w:keepNext/>
              <w:rPr>
                <w:sz w:val="20"/>
              </w:rPr>
            </w:pPr>
            <w:r w:rsidRPr="00FF64ED">
              <w:rPr>
                <w:sz w:val="20"/>
              </w:rPr>
              <w:t>246</w:t>
            </w:r>
          </w:p>
        </w:tc>
        <w:tc>
          <w:tcPr>
            <w:tcW w:w="774" w:type="dxa"/>
          </w:tcPr>
          <w:p w:rsidR="00CA7442" w:rsidRPr="00FF64ED" w:rsidRDefault="00CA7442" w:rsidP="005A2A7B">
            <w:pPr>
              <w:keepNext/>
              <w:rPr>
                <w:sz w:val="20"/>
              </w:rPr>
            </w:pPr>
            <w:r w:rsidRPr="00FF64ED">
              <w:rPr>
                <w:sz w:val="20"/>
              </w:rPr>
              <w:t>62</w:t>
            </w:r>
          </w:p>
        </w:tc>
        <w:tc>
          <w:tcPr>
            <w:tcW w:w="774" w:type="dxa"/>
          </w:tcPr>
          <w:p w:rsidR="00CA7442" w:rsidRPr="00FF64ED" w:rsidRDefault="00CA7442" w:rsidP="005A2A7B">
            <w:pPr>
              <w:keepNext/>
              <w:rPr>
                <w:sz w:val="20"/>
              </w:rPr>
            </w:pPr>
            <w:r w:rsidRPr="00FF64ED">
              <w:rPr>
                <w:sz w:val="20"/>
              </w:rPr>
              <w:t>28</w:t>
            </w:r>
          </w:p>
        </w:tc>
        <w:tc>
          <w:tcPr>
            <w:tcW w:w="774" w:type="dxa"/>
          </w:tcPr>
          <w:p w:rsidR="00CA7442" w:rsidRPr="00FF64ED" w:rsidRDefault="00CA7442" w:rsidP="005A2A7B">
            <w:pPr>
              <w:keepNext/>
              <w:rPr>
                <w:sz w:val="20"/>
              </w:rPr>
            </w:pPr>
            <w:r w:rsidRPr="00FF64ED">
              <w:rPr>
                <w:sz w:val="20"/>
              </w:rPr>
              <w:t>16</w:t>
            </w:r>
          </w:p>
        </w:tc>
        <w:tc>
          <w:tcPr>
            <w:tcW w:w="774" w:type="dxa"/>
          </w:tcPr>
          <w:p w:rsidR="00CA7442" w:rsidRPr="00FF64ED" w:rsidRDefault="00CA7442" w:rsidP="005A2A7B">
            <w:pPr>
              <w:keepNext/>
              <w:rPr>
                <w:sz w:val="20"/>
              </w:rPr>
            </w:pPr>
            <w:r w:rsidRPr="00FF64ED">
              <w:rPr>
                <w:sz w:val="20"/>
              </w:rPr>
              <w:t>7</w:t>
            </w:r>
          </w:p>
        </w:tc>
      </w:tr>
      <w:tr w:rsidR="00CA7442" w:rsidRPr="00FF64ED" w:rsidTr="00FF64ED">
        <w:trPr>
          <w:jc w:val="center"/>
        </w:trPr>
        <w:tc>
          <w:tcPr>
            <w:tcW w:w="1818" w:type="dxa"/>
            <w:shd w:val="clear" w:color="auto" w:fill="D9D9D9" w:themeFill="background1" w:themeFillShade="D9"/>
          </w:tcPr>
          <w:p w:rsidR="00CA7442" w:rsidRPr="00FF64ED" w:rsidRDefault="00CA7442" w:rsidP="005A2A7B">
            <w:pPr>
              <w:keepNext/>
              <w:rPr>
                <w:b/>
                <w:sz w:val="20"/>
              </w:rPr>
            </w:pPr>
            <w:r w:rsidRPr="00FF64ED">
              <w:rPr>
                <w:b/>
                <w:sz w:val="20"/>
              </w:rPr>
              <w:t>90% CI</w:t>
            </w:r>
          </w:p>
        </w:tc>
        <w:tc>
          <w:tcPr>
            <w:tcW w:w="774" w:type="dxa"/>
          </w:tcPr>
          <w:p w:rsidR="00CA7442" w:rsidRPr="00FF64ED" w:rsidRDefault="00CA7442" w:rsidP="005A2A7B">
            <w:pPr>
              <w:keepNext/>
              <w:rPr>
                <w:sz w:val="20"/>
              </w:rPr>
            </w:pPr>
            <w:r w:rsidRPr="00FF64ED">
              <w:rPr>
                <w:sz w:val="20"/>
              </w:rPr>
              <w:t>174</w:t>
            </w:r>
          </w:p>
        </w:tc>
        <w:tc>
          <w:tcPr>
            <w:tcW w:w="774" w:type="dxa"/>
          </w:tcPr>
          <w:p w:rsidR="00CA7442" w:rsidRPr="00FF64ED" w:rsidRDefault="00CA7442" w:rsidP="005A2A7B">
            <w:pPr>
              <w:keepNext/>
              <w:rPr>
                <w:sz w:val="20"/>
              </w:rPr>
            </w:pPr>
            <w:r w:rsidRPr="00FF64ED">
              <w:rPr>
                <w:sz w:val="20"/>
              </w:rPr>
              <w:t>44</w:t>
            </w:r>
          </w:p>
        </w:tc>
        <w:tc>
          <w:tcPr>
            <w:tcW w:w="774" w:type="dxa"/>
          </w:tcPr>
          <w:p w:rsidR="00CA7442" w:rsidRPr="00FF64ED" w:rsidRDefault="00CA7442" w:rsidP="005A2A7B">
            <w:pPr>
              <w:keepNext/>
              <w:rPr>
                <w:sz w:val="20"/>
              </w:rPr>
            </w:pPr>
            <w:r w:rsidRPr="00FF64ED">
              <w:rPr>
                <w:sz w:val="20"/>
              </w:rPr>
              <w:t>20</w:t>
            </w:r>
          </w:p>
        </w:tc>
        <w:tc>
          <w:tcPr>
            <w:tcW w:w="774" w:type="dxa"/>
          </w:tcPr>
          <w:p w:rsidR="00CA7442" w:rsidRPr="00FF64ED" w:rsidRDefault="00CA7442" w:rsidP="005A2A7B">
            <w:pPr>
              <w:keepNext/>
              <w:rPr>
                <w:sz w:val="20"/>
              </w:rPr>
            </w:pPr>
            <w:r w:rsidRPr="00FF64ED">
              <w:rPr>
                <w:sz w:val="20"/>
              </w:rPr>
              <w:t>11</w:t>
            </w:r>
          </w:p>
        </w:tc>
        <w:tc>
          <w:tcPr>
            <w:tcW w:w="774" w:type="dxa"/>
          </w:tcPr>
          <w:p w:rsidR="00CA7442" w:rsidRPr="00FF64ED" w:rsidRDefault="00CA7442" w:rsidP="005A2A7B">
            <w:pPr>
              <w:keepNext/>
              <w:rPr>
                <w:sz w:val="20"/>
              </w:rPr>
            </w:pPr>
            <w:r w:rsidRPr="00FF64ED">
              <w:rPr>
                <w:sz w:val="20"/>
              </w:rPr>
              <w:t>5</w:t>
            </w:r>
          </w:p>
        </w:tc>
      </w:tr>
    </w:tbl>
    <w:p w:rsidR="0072798A" w:rsidRDefault="0072798A" w:rsidP="00E76880"/>
    <w:p w:rsidR="00D01000" w:rsidRPr="00637197" w:rsidRDefault="00D01000" w:rsidP="00D01000">
      <w:r>
        <w:t xml:space="preserve">For example, consider the situation where the primary concern </w:t>
      </w:r>
      <w:r w:rsidR="00A141BF">
        <w:t xml:space="preserve">is </w:t>
      </w:r>
      <w:r w:rsidR="00E5778B">
        <w:t>to understand</w:t>
      </w:r>
      <w:r>
        <w:t xml:space="preserve"> whether a population (i.e., district, region, etc.) has a high rate of failure on a particular indicator (i.e., </w:t>
      </w:r>
      <w:r w:rsidRPr="00A141BF">
        <w:rPr>
          <w:i/>
        </w:rPr>
        <w:t>p</w:t>
      </w:r>
      <w:r>
        <w:t>, the proportion of “passes”</w:t>
      </w:r>
      <w:r w:rsidR="00EB1272">
        <w:t xml:space="preserve"> or “green” condition is low). </w:t>
      </w:r>
      <w:r>
        <w:t>If the</w:t>
      </w:r>
      <w:r w:rsidR="00F455B8">
        <w:t xml:space="preserve"> true</w:t>
      </w:r>
      <w:r>
        <w:t xml:space="preserve"> proportion is </w:t>
      </w:r>
      <w:r w:rsidRPr="00A141BF">
        <w:rPr>
          <w:i/>
        </w:rPr>
        <w:t>p</w:t>
      </w:r>
      <w:r>
        <w:t>=0.2 (i.e., 80% failure of sites), then even only 20 samples would provide a 90% confidence estimate of 0.2</w:t>
      </w:r>
      <w:r w:rsidR="00A141BF">
        <w:t> </w:t>
      </w:r>
      <w:r>
        <w:rPr>
          <w:rFonts w:cstheme="minorHAnsi"/>
        </w:rPr>
        <w:t>±</w:t>
      </w:r>
      <w:r>
        <w:t>0.075</w:t>
      </w:r>
      <w:r w:rsidR="00A141BF">
        <w:t xml:space="preserve">. The data thus indicates that there is </w:t>
      </w:r>
      <w:r>
        <w:t xml:space="preserve">only a 10% probability that the confidence interval </w:t>
      </w:r>
      <w:r w:rsidR="003601C8">
        <w:t>would</w:t>
      </w:r>
      <w:r>
        <w:t xml:space="preserve"> not contain the true proportion – </w:t>
      </w:r>
      <w:r w:rsidR="00F455B8">
        <w:t>in other words</w:t>
      </w:r>
      <w:r>
        <w:t xml:space="preserve">, </w:t>
      </w:r>
      <w:r w:rsidR="00F455B8">
        <w:t xml:space="preserve">even 20 samples would provide strong </w:t>
      </w:r>
      <w:r>
        <w:t xml:space="preserve">evidence </w:t>
      </w:r>
      <w:r w:rsidR="00F91421">
        <w:t xml:space="preserve">of </w:t>
      </w:r>
      <w:r w:rsidR="00F455B8">
        <w:t xml:space="preserve">poor </w:t>
      </w:r>
      <w:r w:rsidR="00EB1272">
        <w:t xml:space="preserve">performance. </w:t>
      </w:r>
      <w:r w:rsidR="00F91421">
        <w:t>If</w:t>
      </w:r>
      <w:r>
        <w:t xml:space="preserve"> the primary concern is identifying whether there is a high failure rate, it may be perfectly acceptable to have wide confidence interval widths and therefore even quite small sample sizes could be informative. For example, if 7 samples generated an estimate of </w:t>
      </w:r>
      <w:r w:rsidRPr="00A141BF">
        <w:rPr>
          <w:i/>
        </w:rPr>
        <w:t>p</w:t>
      </w:r>
      <w:r>
        <w:t xml:space="preserve">=0.2, the estimate would have a 95% confidence interval of 0.05-0.35. </w:t>
      </w:r>
      <w:r w:rsidR="00F91421">
        <w:t>That is a wide confidence interval, but i</w:t>
      </w:r>
      <w:r>
        <w:t xml:space="preserve">f for example the regional target for overall “success” was p=0.5 (or any higher target), these 7 samples would provide sufficient </w:t>
      </w:r>
      <w:r w:rsidR="00F91421">
        <w:t>precision</w:t>
      </w:r>
      <w:r>
        <w:t xml:space="preserve"> to conclude that the population is </w:t>
      </w:r>
      <w:r w:rsidR="00F91421">
        <w:t xml:space="preserve">very likely </w:t>
      </w:r>
      <w:r>
        <w:t xml:space="preserve">not meeting that target. Knowing </w:t>
      </w:r>
      <w:r w:rsidR="003601C8">
        <w:t xml:space="preserve">the true proportion </w:t>
      </w:r>
      <w:r>
        <w:t xml:space="preserve">more </w:t>
      </w:r>
      <w:r>
        <w:lastRenderedPageBreak/>
        <w:t xml:space="preserve">precisely </w:t>
      </w:r>
      <w:r w:rsidR="00F91421">
        <w:t>is not necessary for conclusions about that broad scale of effect.</w:t>
      </w:r>
      <w:r>
        <w:t xml:space="preserve">  Conversely, if the 7 samples generated an estimate of 0.8, then the estimate would have a 95% confidence interval of 0.65-0.95, providing sufficient confidence to conclude that </w:t>
      </w:r>
      <w:r w:rsidR="00F91421">
        <w:t xml:space="preserve">it is very likely that </w:t>
      </w:r>
      <w:r>
        <w:t xml:space="preserve">the population is meeting the target and does not </w:t>
      </w:r>
      <w:r w:rsidR="003601C8">
        <w:t>in fact</w:t>
      </w:r>
      <w:r>
        <w:t xml:space="preserve"> have </w:t>
      </w:r>
      <w:r w:rsidR="003601C8">
        <w:t xml:space="preserve">a </w:t>
      </w:r>
      <w:r>
        <w:t>high rate of failure.</w:t>
      </w:r>
    </w:p>
    <w:p w:rsidR="00282F2B" w:rsidRDefault="00282F2B">
      <w:r>
        <w:br w:type="page"/>
      </w:r>
    </w:p>
    <w:p w:rsidR="004A37C7" w:rsidRDefault="00772529" w:rsidP="00D1323F">
      <w:pPr>
        <w:pStyle w:val="Heading1"/>
        <w:numPr>
          <w:ilvl w:val="0"/>
          <w:numId w:val="0"/>
        </w:numPr>
        <w:ind w:left="360" w:hanging="360"/>
      </w:pPr>
      <w:bookmarkStart w:id="23" w:name="_Toc442204968"/>
      <w:r>
        <w:lastRenderedPageBreak/>
        <w:t>Component</w:t>
      </w:r>
      <w:r w:rsidR="002F3852">
        <w:t xml:space="preserve"> </w:t>
      </w:r>
      <w:r>
        <w:t>II</w:t>
      </w:r>
      <w:r w:rsidR="002F3852">
        <w:t xml:space="preserve">: </w:t>
      </w:r>
      <w:r w:rsidR="004A37C7">
        <w:t xml:space="preserve">Allocation of </w:t>
      </w:r>
      <w:r w:rsidR="00286E4C">
        <w:t>annual samples to core FREP design</w:t>
      </w:r>
      <w:bookmarkEnd w:id="23"/>
    </w:p>
    <w:p w:rsidR="0047736D" w:rsidRDefault="002D02CB" w:rsidP="00D1323F">
      <w:pPr>
        <w:pStyle w:val="Heading2"/>
      </w:pPr>
      <w:bookmarkStart w:id="24" w:name="_Ref437538814"/>
      <w:bookmarkStart w:id="25" w:name="_Toc442204969"/>
      <w:r>
        <w:t>Summary of</w:t>
      </w:r>
      <w:r w:rsidR="00836271">
        <w:t xml:space="preserve"> </w:t>
      </w:r>
      <w:r w:rsidR="002014EC">
        <w:t>Approach</w:t>
      </w:r>
      <w:bookmarkEnd w:id="24"/>
      <w:bookmarkEnd w:id="25"/>
      <w:r w:rsidR="00836271">
        <w:t xml:space="preserve"> </w:t>
      </w:r>
    </w:p>
    <w:p w:rsidR="00A83872" w:rsidRDefault="00A83872" w:rsidP="00A83872">
      <w:r>
        <w:t xml:space="preserve">The fundamental premise of this component </w:t>
      </w:r>
      <w:r w:rsidR="003601C8">
        <w:t xml:space="preserve">is </w:t>
      </w:r>
      <w:r w:rsidR="00873818">
        <w:t>the requirement that</w:t>
      </w:r>
      <w:r>
        <w:t xml:space="preserve"> </w:t>
      </w:r>
      <w:r w:rsidR="00245966">
        <w:t xml:space="preserve">the </w:t>
      </w:r>
      <w:r>
        <w:t>level of sampling conducted for each value within each district meets a minimum threshold within a rolling window</w:t>
      </w:r>
      <w:r w:rsidR="00873818">
        <w:t>,</w:t>
      </w:r>
      <w:r>
        <w:t xml:space="preserve"> in order to achieve and maintain full implementation of the core FREP design</w:t>
      </w:r>
      <w:r w:rsidR="00873818">
        <w:t>.</w:t>
      </w:r>
    </w:p>
    <w:p w:rsidR="00873818" w:rsidRDefault="00873818" w:rsidP="003601C8">
      <w:pPr>
        <w:spacing w:after="60"/>
      </w:pPr>
      <w:r>
        <w:t xml:space="preserve">The key requirements </w:t>
      </w:r>
      <w:r w:rsidR="00245966">
        <w:t>(with rationale</w:t>
      </w:r>
      <w:r w:rsidR="00B7406D">
        <w:t>s</w:t>
      </w:r>
      <w:r w:rsidR="00245966">
        <w:t xml:space="preserve"> described in Section </w:t>
      </w:r>
      <w:r w:rsidR="00495B9B">
        <w:fldChar w:fldCharType="begin"/>
      </w:r>
      <w:r w:rsidR="00637D94">
        <w:instrText xml:space="preserve"> REF _Ref442203697 \r \h </w:instrText>
      </w:r>
      <w:r w:rsidR="00495B9B">
        <w:fldChar w:fldCharType="separate"/>
      </w:r>
      <w:r w:rsidR="00637D94">
        <w:t>B.4</w:t>
      </w:r>
      <w:r w:rsidR="00495B9B">
        <w:fldChar w:fldCharType="end"/>
      </w:r>
      <w:r w:rsidR="00245966">
        <w:t xml:space="preserve">) </w:t>
      </w:r>
      <w:r>
        <w:t>are:</w:t>
      </w:r>
    </w:p>
    <w:p w:rsidR="00873818" w:rsidRDefault="00161AB8" w:rsidP="003601C8">
      <w:pPr>
        <w:pStyle w:val="ListParagraph"/>
        <w:numPr>
          <w:ilvl w:val="0"/>
          <w:numId w:val="4"/>
        </w:numPr>
        <w:spacing w:after="60"/>
      </w:pPr>
      <w:r>
        <w:t>The minimum threshold is 30 samples per value per district</w:t>
      </w:r>
      <w:r w:rsidR="003601C8">
        <w:t>;</w:t>
      </w:r>
    </w:p>
    <w:p w:rsidR="00161AB8" w:rsidRDefault="00161AB8" w:rsidP="003601C8">
      <w:pPr>
        <w:pStyle w:val="ListParagraph"/>
        <w:numPr>
          <w:ilvl w:val="0"/>
          <w:numId w:val="4"/>
        </w:numPr>
        <w:spacing w:after="60"/>
      </w:pPr>
      <w:r>
        <w:t>The rolling window in which the minimum threshold must be achieved is 5 years</w:t>
      </w:r>
      <w:r w:rsidR="003601C8">
        <w:t>;</w:t>
      </w:r>
    </w:p>
    <w:p w:rsidR="00161AB8" w:rsidRDefault="00161AB8" w:rsidP="003601C8">
      <w:pPr>
        <w:pStyle w:val="ListParagraph"/>
        <w:numPr>
          <w:ilvl w:val="0"/>
          <w:numId w:val="4"/>
        </w:numPr>
        <w:spacing w:after="60"/>
      </w:pPr>
      <w:r>
        <w:t>This applies to 7 values for all districts, plus 1 additional value for 5 districts</w:t>
      </w:r>
      <w:r w:rsidR="003601C8">
        <w:t>;</w:t>
      </w:r>
    </w:p>
    <w:p w:rsidR="00161AB8" w:rsidRDefault="00161AB8" w:rsidP="003601C8">
      <w:pPr>
        <w:pStyle w:val="ListParagraph"/>
        <w:numPr>
          <w:ilvl w:val="0"/>
          <w:numId w:val="4"/>
        </w:numPr>
        <w:spacing w:after="60"/>
      </w:pPr>
      <w:r>
        <w:t xml:space="preserve">Each value does not need to </w:t>
      </w:r>
      <w:r w:rsidR="003B74F8">
        <w:t xml:space="preserve">be </w:t>
      </w:r>
      <w:r w:rsidR="00007819">
        <w:t xml:space="preserve">sampled each year, but must </w:t>
      </w:r>
      <w:r>
        <w:t>not have a gap of more than 2 years</w:t>
      </w:r>
      <w:r w:rsidR="003601C8">
        <w:t>;</w:t>
      </w:r>
    </w:p>
    <w:p w:rsidR="00007819" w:rsidRDefault="00007819" w:rsidP="003601C8">
      <w:pPr>
        <w:pStyle w:val="ListParagraph"/>
        <w:numPr>
          <w:ilvl w:val="0"/>
          <w:numId w:val="4"/>
        </w:numPr>
        <w:spacing w:after="60"/>
      </w:pPr>
      <w:r>
        <w:t xml:space="preserve">The frequency and intensity of sampling necessary to achieve </w:t>
      </w:r>
      <w:r w:rsidR="00161AB8">
        <w:t>the defined minimums</w:t>
      </w:r>
      <w:r>
        <w:t xml:space="preserve"> is otherwise flexible</w:t>
      </w:r>
      <w:r w:rsidR="003601C8">
        <w:t>.</w:t>
      </w:r>
    </w:p>
    <w:p w:rsidR="003601C8" w:rsidRDefault="003601C8" w:rsidP="003601C8">
      <w:pPr>
        <w:pStyle w:val="ListParagraph"/>
        <w:numPr>
          <w:ilvl w:val="0"/>
          <w:numId w:val="0"/>
        </w:numPr>
        <w:spacing w:after="60"/>
        <w:ind w:left="720"/>
      </w:pPr>
    </w:p>
    <w:p w:rsidR="00836271" w:rsidRDefault="00836271" w:rsidP="00D1323F">
      <w:pPr>
        <w:pStyle w:val="Heading2"/>
      </w:pPr>
      <w:bookmarkStart w:id="26" w:name="_Ref442203697"/>
      <w:bookmarkStart w:id="27" w:name="_Toc442204970"/>
      <w:r>
        <w:t>Rationale</w:t>
      </w:r>
      <w:bookmarkEnd w:id="26"/>
      <w:bookmarkEnd w:id="27"/>
    </w:p>
    <w:p w:rsidR="00BA3A7F" w:rsidRDefault="00BA3A7F" w:rsidP="00D1323F">
      <w:pPr>
        <w:pStyle w:val="Heading3"/>
      </w:pPr>
      <w:bookmarkStart w:id="28" w:name="_Toc442204971"/>
      <w:r>
        <w:t xml:space="preserve">Rationale for </w:t>
      </w:r>
      <w:r w:rsidR="0031312F">
        <w:t>overall approach</w:t>
      </w:r>
      <w:bookmarkEnd w:id="28"/>
    </w:p>
    <w:p w:rsidR="00704255" w:rsidRDefault="00704255" w:rsidP="00704255">
      <w:r>
        <w:t xml:space="preserve">The overarching rationale for this approach is to achieve and maintain full implementation of the </w:t>
      </w:r>
      <w:r w:rsidR="00C502E1">
        <w:t xml:space="preserve">core </w:t>
      </w:r>
      <w:r>
        <w:t>FREP design</w:t>
      </w:r>
      <w:r w:rsidR="00C502E1">
        <w:t>, including providing</w:t>
      </w:r>
      <w:r>
        <w:t xml:space="preserve"> coverage </w:t>
      </w:r>
      <w:r w:rsidR="00C502E1">
        <w:t xml:space="preserve">both </w:t>
      </w:r>
      <w:r>
        <w:t>across values and over time.</w:t>
      </w:r>
    </w:p>
    <w:p w:rsidR="0018377B" w:rsidRPr="0018377B" w:rsidRDefault="0018377B" w:rsidP="002B118C">
      <w:pPr>
        <w:pStyle w:val="SubHead1"/>
      </w:pPr>
      <w:r>
        <w:t>Sampling c</w:t>
      </w:r>
      <w:r w:rsidRPr="0018377B">
        <w:t xml:space="preserve">overage across </w:t>
      </w:r>
      <w:r>
        <w:t>v</w:t>
      </w:r>
      <w:r w:rsidRPr="0018377B">
        <w:t>alues</w:t>
      </w:r>
    </w:p>
    <w:p w:rsidR="0018377B" w:rsidRDefault="0018377B" w:rsidP="00704255">
      <w:r>
        <w:t>One of the ultimate goals of the original FREP design was to be able to monitor the condition</w:t>
      </w:r>
      <w:r w:rsidR="00C502E1">
        <w:t xml:space="preserve"> of the identified resource values across </w:t>
      </w:r>
      <w:r w:rsidR="00B766CA">
        <w:t>district</w:t>
      </w:r>
      <w:r w:rsidR="00C502E1">
        <w:t xml:space="preserve">s and rolled up to the </w:t>
      </w:r>
      <w:r w:rsidR="0025191A">
        <w:t xml:space="preserve">regional and </w:t>
      </w:r>
      <w:r w:rsidR="00B766CA">
        <w:t>p</w:t>
      </w:r>
      <w:r w:rsidR="00C502E1">
        <w:t>rovincial scale</w:t>
      </w:r>
      <w:r w:rsidR="0025191A">
        <w:t>s</w:t>
      </w:r>
      <w:r w:rsidR="00C502E1">
        <w:t>.</w:t>
      </w:r>
    </w:p>
    <w:p w:rsidR="00793B57" w:rsidRDefault="00926A5D" w:rsidP="00704255">
      <w:r>
        <w:t>FREP has now been active for 10 years. However, the level of sampling has varied among values and districts over this time. Sampling for different values began at different times and implementation across districts has been uneven.</w:t>
      </w:r>
      <w:r w:rsidR="00793B57">
        <w:t xml:space="preserve"> In 2006, only 2 values (occasionally 3) were being sampled within each district, but by 2009 almost all districts were sampling 3-5 values per year and from 2011 onwards most districts have been sampling 4-6 values per year (</w:t>
      </w:r>
      <w:r w:rsidR="00495B9B">
        <w:fldChar w:fldCharType="begin"/>
      </w:r>
      <w:r w:rsidR="00793B57">
        <w:instrText xml:space="preserve"> REF _Ref436735031 \h </w:instrText>
      </w:r>
      <w:r w:rsidR="00495B9B">
        <w:fldChar w:fldCharType="separate"/>
      </w:r>
      <w:r w:rsidR="005E13E6">
        <w:t xml:space="preserve">Table </w:t>
      </w:r>
      <w:r w:rsidR="005E13E6">
        <w:rPr>
          <w:noProof/>
        </w:rPr>
        <w:t>4</w:t>
      </w:r>
      <w:r w:rsidR="00495B9B">
        <w:fldChar w:fldCharType="end"/>
      </w:r>
      <w:r w:rsidR="00793B57">
        <w:t xml:space="preserve">). The actual number of </w:t>
      </w:r>
      <w:proofErr w:type="spellStart"/>
      <w:r w:rsidR="00793B57">
        <w:t>cutblocks</w:t>
      </w:r>
      <w:proofErr w:type="spellEnd"/>
      <w:r w:rsidR="00793B57">
        <w:t xml:space="preserve"> sampled for each value in each year is shown in </w:t>
      </w:r>
      <w:r w:rsidR="00495B9B">
        <w:fldChar w:fldCharType="begin"/>
      </w:r>
      <w:r w:rsidR="00793B57">
        <w:instrText xml:space="preserve"> REF _Ref436735613 \h </w:instrText>
      </w:r>
      <w:r w:rsidR="00495B9B">
        <w:fldChar w:fldCharType="separate"/>
      </w:r>
      <w:r w:rsidR="005E13E6">
        <w:t xml:space="preserve">Table </w:t>
      </w:r>
      <w:r w:rsidR="005E13E6">
        <w:rPr>
          <w:noProof/>
        </w:rPr>
        <w:t>5</w:t>
      </w:r>
      <w:r w:rsidR="00495B9B">
        <w:fldChar w:fldCharType="end"/>
      </w:r>
      <w:r w:rsidR="00793B57">
        <w:t xml:space="preserve">, including the totals by value for the earliest five years and the latest five years. The results in </w:t>
      </w:r>
      <w:r w:rsidR="00495B9B">
        <w:fldChar w:fldCharType="begin"/>
      </w:r>
      <w:r w:rsidR="00793B57">
        <w:instrText xml:space="preserve"> REF _Ref436735613 \h </w:instrText>
      </w:r>
      <w:r w:rsidR="00495B9B">
        <w:fldChar w:fldCharType="separate"/>
      </w:r>
      <w:r w:rsidR="005E13E6">
        <w:t xml:space="preserve">Table </w:t>
      </w:r>
      <w:r w:rsidR="005E13E6">
        <w:rPr>
          <w:noProof/>
        </w:rPr>
        <w:t>5</w:t>
      </w:r>
      <w:r w:rsidR="00495B9B">
        <w:fldChar w:fldCharType="end"/>
      </w:r>
      <w:r w:rsidR="00793B57">
        <w:t xml:space="preserve"> show the following broad patterns:</w:t>
      </w:r>
    </w:p>
    <w:p w:rsidR="00793B57" w:rsidRDefault="00AB79FA" w:rsidP="00EC2B95">
      <w:pPr>
        <w:pStyle w:val="ListParagraph"/>
        <w:numPr>
          <w:ilvl w:val="0"/>
          <w:numId w:val="8"/>
        </w:numPr>
      </w:pPr>
      <w:r>
        <w:t>t</w:t>
      </w:r>
      <w:r w:rsidR="00793B57">
        <w:t>he riparian and stand-level biodiversity values were sampled much more heavily in the early few years tha</w:t>
      </w:r>
      <w:r>
        <w:t>n subsequently;</w:t>
      </w:r>
    </w:p>
    <w:p w:rsidR="00AB79FA" w:rsidRDefault="00AB79FA" w:rsidP="00EC2B95">
      <w:pPr>
        <w:pStyle w:val="ListParagraph"/>
        <w:numPr>
          <w:ilvl w:val="0"/>
          <w:numId w:val="8"/>
        </w:numPr>
      </w:pPr>
      <w:r>
        <w:t>t</w:t>
      </w:r>
      <w:r w:rsidR="00793B57">
        <w:t xml:space="preserve">he water quality and visual quality values have been sampled more in the second half of the record than the first, </w:t>
      </w:r>
      <w:r>
        <w:t>though with decreasing frequency more recently;</w:t>
      </w:r>
    </w:p>
    <w:p w:rsidR="00AB79FA" w:rsidRDefault="00AB79FA" w:rsidP="00EC2B95">
      <w:pPr>
        <w:pStyle w:val="ListParagraph"/>
        <w:numPr>
          <w:ilvl w:val="0"/>
          <w:numId w:val="8"/>
        </w:numPr>
      </w:pPr>
      <w:r>
        <w:t>the s</w:t>
      </w:r>
      <w:r w:rsidR="00793B57">
        <w:t xml:space="preserve">tand development monitoring </w:t>
      </w:r>
      <w:r>
        <w:t>value was sampled increasingly frequently from 2009 to 2013 but annual sampling has fallen by half since then;</w:t>
      </w:r>
    </w:p>
    <w:p w:rsidR="00926A5D" w:rsidRDefault="00AB79FA" w:rsidP="00EC2B95">
      <w:pPr>
        <w:pStyle w:val="ListParagraph"/>
        <w:numPr>
          <w:ilvl w:val="0"/>
          <w:numId w:val="8"/>
        </w:numPr>
      </w:pPr>
      <w:r>
        <w:t>the</w:t>
      </w:r>
      <w:r w:rsidR="00793B57">
        <w:t xml:space="preserve"> cultural heri</w:t>
      </w:r>
      <w:r>
        <w:t>tage resources value has seen substantial, steady increases in sampling but still remains much lower than the above-mentioned values; and,</w:t>
      </w:r>
    </w:p>
    <w:p w:rsidR="00AB79FA" w:rsidRDefault="00AB79FA" w:rsidP="00EC2B95">
      <w:pPr>
        <w:pStyle w:val="ListParagraph"/>
        <w:numPr>
          <w:ilvl w:val="0"/>
          <w:numId w:val="8"/>
        </w:numPr>
      </w:pPr>
      <w:proofErr w:type="gramStart"/>
      <w:r>
        <w:lastRenderedPageBreak/>
        <w:t>the</w:t>
      </w:r>
      <w:proofErr w:type="gramEnd"/>
      <w:r>
        <w:t xml:space="preserve"> wildlife and karst (only applies to five districts) values have had relatively minimal sampling thus far.</w:t>
      </w:r>
    </w:p>
    <w:p w:rsidR="00793B57" w:rsidRDefault="003601C8" w:rsidP="00AB79FA">
      <w:r>
        <w:t>However, t</w:t>
      </w:r>
      <w:r w:rsidR="00AB79FA">
        <w:t xml:space="preserve">hese tables </w:t>
      </w:r>
      <w:r>
        <w:t>do not show the</w:t>
      </w:r>
      <w:r w:rsidR="00AB79FA">
        <w:t xml:space="preserve"> substantial inter-district variability</w:t>
      </w:r>
      <w:r>
        <w:t xml:space="preserve"> that exists</w:t>
      </w:r>
      <w:r w:rsidR="00AB79FA">
        <w:t>. That is, some</w:t>
      </w:r>
      <w:r w:rsidR="00793B57">
        <w:t xml:space="preserve"> values </w:t>
      </w:r>
      <w:r w:rsidR="00AB79FA">
        <w:t xml:space="preserve">have been </w:t>
      </w:r>
      <w:r w:rsidR="00793B57">
        <w:t>sampled extensively in some districts and minimally in others</w:t>
      </w:r>
      <w:r w:rsidR="00AB79FA">
        <w:t xml:space="preserve"> and other values have l</w:t>
      </w:r>
      <w:r w:rsidR="00793B57">
        <w:t>imited sampling across many or most districts</w:t>
      </w:r>
      <w:r w:rsidR="00AB79FA">
        <w:t>.</w:t>
      </w:r>
    </w:p>
    <w:p w:rsidR="00D05FEB" w:rsidRDefault="00D05FEB" w:rsidP="00D05FEB">
      <w:pPr>
        <w:pStyle w:val="Caption"/>
        <w:keepNext/>
      </w:pPr>
      <w:bookmarkStart w:id="29" w:name="_Ref436735031"/>
      <w:proofErr w:type="gramStart"/>
      <w:r>
        <w:t xml:space="preserve">Table </w:t>
      </w:r>
      <w:r w:rsidR="00495B9B">
        <w:fldChar w:fldCharType="begin"/>
      </w:r>
      <w:r w:rsidR="002F6AE4">
        <w:instrText xml:space="preserve"> SEQ Table \* ARABIC </w:instrText>
      </w:r>
      <w:r w:rsidR="00495B9B">
        <w:fldChar w:fldCharType="separate"/>
      </w:r>
      <w:r w:rsidR="005E13E6">
        <w:rPr>
          <w:noProof/>
        </w:rPr>
        <w:t>4</w:t>
      </w:r>
      <w:r w:rsidR="00495B9B">
        <w:rPr>
          <w:noProof/>
        </w:rPr>
        <w:fldChar w:fldCharType="end"/>
      </w:r>
      <w:bookmarkEnd w:id="29"/>
      <w:r w:rsidR="00E76880">
        <w:t>.</w:t>
      </w:r>
      <w:proofErr w:type="gramEnd"/>
      <w:r w:rsidR="00E76880">
        <w:tab/>
      </w:r>
      <w:r w:rsidR="00793B57">
        <w:t>Number of FREP values sampled in each district over time.</w:t>
      </w:r>
    </w:p>
    <w:p w:rsidR="00EA15F4" w:rsidRDefault="00926A5D" w:rsidP="00704255">
      <w:r w:rsidRPr="00926A5D">
        <w:rPr>
          <w:noProof/>
        </w:rPr>
        <w:drawing>
          <wp:inline distT="0" distB="0" distL="0" distR="0" wp14:anchorId="0A8AF985" wp14:editId="1093142C">
            <wp:extent cx="4926842" cy="33347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26842" cy="3334727"/>
                    </a:xfrm>
                    <a:prstGeom prst="rect">
                      <a:avLst/>
                    </a:prstGeom>
                    <a:noFill/>
                    <a:ln>
                      <a:noFill/>
                    </a:ln>
                  </pic:spPr>
                </pic:pic>
              </a:graphicData>
            </a:graphic>
          </wp:inline>
        </w:drawing>
      </w:r>
    </w:p>
    <w:p w:rsidR="00793B57" w:rsidRDefault="00793B57" w:rsidP="00793B57">
      <w:pPr>
        <w:pStyle w:val="Caption"/>
        <w:keepNext/>
      </w:pPr>
      <w:bookmarkStart w:id="30" w:name="_Ref436735613"/>
      <w:proofErr w:type="gramStart"/>
      <w:r>
        <w:t xml:space="preserve">Table </w:t>
      </w:r>
      <w:r w:rsidR="00495B9B">
        <w:fldChar w:fldCharType="begin"/>
      </w:r>
      <w:r w:rsidR="002F6AE4">
        <w:instrText xml:space="preserve"> SEQ Table \* ARABIC </w:instrText>
      </w:r>
      <w:r w:rsidR="00495B9B">
        <w:fldChar w:fldCharType="separate"/>
      </w:r>
      <w:r w:rsidR="005E13E6">
        <w:rPr>
          <w:noProof/>
        </w:rPr>
        <w:t>5</w:t>
      </w:r>
      <w:r w:rsidR="00495B9B">
        <w:rPr>
          <w:noProof/>
        </w:rPr>
        <w:fldChar w:fldCharType="end"/>
      </w:r>
      <w:bookmarkEnd w:id="30"/>
      <w:r w:rsidR="00E76880">
        <w:t>.</w:t>
      </w:r>
      <w:proofErr w:type="gramEnd"/>
      <w:r w:rsidR="00E76880">
        <w:tab/>
      </w:r>
      <w:r>
        <w:t xml:space="preserve">Number of </w:t>
      </w:r>
      <w:proofErr w:type="spellStart"/>
      <w:r>
        <w:t>cutblocks</w:t>
      </w:r>
      <w:proofErr w:type="spellEnd"/>
      <w:r>
        <w:t xml:space="preserve"> sampled per value (across all districts) over time.</w:t>
      </w:r>
    </w:p>
    <w:p w:rsidR="00926A5D" w:rsidRDefault="008340E4" w:rsidP="00704255">
      <w:r w:rsidRPr="008340E4">
        <w:rPr>
          <w:noProof/>
        </w:rPr>
        <w:drawing>
          <wp:inline distT="0" distB="0" distL="0" distR="0" wp14:anchorId="75799FF1" wp14:editId="55F9D716">
            <wp:extent cx="5943600" cy="14187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418726"/>
                    </a:xfrm>
                    <a:prstGeom prst="rect">
                      <a:avLst/>
                    </a:prstGeom>
                    <a:noFill/>
                    <a:ln>
                      <a:noFill/>
                    </a:ln>
                  </pic:spPr>
                </pic:pic>
              </a:graphicData>
            </a:graphic>
          </wp:inline>
        </w:drawing>
      </w:r>
    </w:p>
    <w:p w:rsidR="0018377B" w:rsidRDefault="0018377B" w:rsidP="002B118C">
      <w:pPr>
        <w:pStyle w:val="SubHead1"/>
      </w:pPr>
      <w:r>
        <w:t>Sampling c</w:t>
      </w:r>
      <w:r w:rsidRPr="0018377B">
        <w:t xml:space="preserve">overage across </w:t>
      </w:r>
      <w:r>
        <w:t>time</w:t>
      </w:r>
    </w:p>
    <w:p w:rsidR="002A7854" w:rsidRDefault="00C502E1" w:rsidP="00C502E1">
      <w:r>
        <w:t xml:space="preserve">Requiring </w:t>
      </w:r>
      <w:r w:rsidR="00201121">
        <w:t xml:space="preserve">that </w:t>
      </w:r>
      <w:r>
        <w:t xml:space="preserve">a minimum level of sampling effort </w:t>
      </w:r>
      <w:r w:rsidR="00201121">
        <w:t>is maintain</w:t>
      </w:r>
      <w:r w:rsidR="00AB79FA">
        <w:t>ed</w:t>
      </w:r>
      <w:r w:rsidR="00201121">
        <w:t xml:space="preserve"> </w:t>
      </w:r>
      <w:r>
        <w:t xml:space="preserve">within a rolling window is a relatively simple design </w:t>
      </w:r>
      <w:r w:rsidR="00A53693">
        <w:t xml:space="preserve">to </w:t>
      </w:r>
      <w:r>
        <w:t>address</w:t>
      </w:r>
      <w:r w:rsidR="00A53693">
        <w:t xml:space="preserve"> some of the </w:t>
      </w:r>
      <w:r w:rsidR="00AB79FA">
        <w:t>major components of</w:t>
      </w:r>
      <w:r w:rsidR="00A53693">
        <w:t xml:space="preserve"> the </w:t>
      </w:r>
      <w:r w:rsidR="00201121">
        <w:t>temporal issue</w:t>
      </w:r>
      <w:r w:rsidR="00C24FFA">
        <w:t xml:space="preserve">, </w:t>
      </w:r>
      <w:r w:rsidR="003601C8">
        <w:t>which</w:t>
      </w:r>
      <w:r w:rsidR="00C24FFA">
        <w:t xml:space="preserve"> has not yet been explicitly addressed by the FREP program. However, g</w:t>
      </w:r>
      <w:r w:rsidR="002A7854">
        <w:t xml:space="preserve">iven its stage of development, </w:t>
      </w:r>
      <w:r w:rsidR="00C24FFA">
        <w:t xml:space="preserve">it is </w:t>
      </w:r>
      <w:r w:rsidR="003601C8">
        <w:t>not un</w:t>
      </w:r>
      <w:r w:rsidR="00C24FFA">
        <w:t xml:space="preserve">expected that the focus </w:t>
      </w:r>
      <w:r w:rsidR="002A7854">
        <w:t>thus far has been on implementing the original design</w:t>
      </w:r>
      <w:r w:rsidR="00C24FFA">
        <w:t xml:space="preserve"> and expanding it across FREP values</w:t>
      </w:r>
      <w:r w:rsidR="00AB79FA">
        <w:t>.</w:t>
      </w:r>
    </w:p>
    <w:p w:rsidR="0018377B" w:rsidRPr="006D071D" w:rsidRDefault="00201121" w:rsidP="002B118C">
      <w:pPr>
        <w:pStyle w:val="SubHead2"/>
      </w:pPr>
      <w:r w:rsidRPr="006D071D">
        <w:lastRenderedPageBreak/>
        <w:t>The issue with time</w:t>
      </w:r>
    </w:p>
    <w:p w:rsidR="00201121" w:rsidRDefault="00201121" w:rsidP="0027639F">
      <w:r>
        <w:t>Time is a confounding variable</w:t>
      </w:r>
      <w:r w:rsidR="00C24FFA">
        <w:t>. W</w:t>
      </w:r>
      <w:r w:rsidR="003C3E57">
        <w:t xml:space="preserve">eather, hydrologic condition, climate patterns, </w:t>
      </w:r>
      <w:r w:rsidR="00C24FFA">
        <w:t>biological cycles, and</w:t>
      </w:r>
      <w:r w:rsidR="003C3E57">
        <w:t xml:space="preserve"> management practices </w:t>
      </w:r>
      <w:r w:rsidR="00C24FFA">
        <w:t>can all change over time</w:t>
      </w:r>
      <w:r w:rsidR="003C3E57">
        <w:t xml:space="preserve">. </w:t>
      </w:r>
      <w:r w:rsidR="00C24FFA">
        <w:t>It is important to continue to collect newer samples because older samples may no longer be appropriate to represent current conditions</w:t>
      </w:r>
      <w:r w:rsidR="0027639F">
        <w:t xml:space="preserve">. </w:t>
      </w:r>
    </w:p>
    <w:p w:rsidR="0018377B" w:rsidRPr="006D071D" w:rsidRDefault="00201121" w:rsidP="002B118C">
      <w:pPr>
        <w:pStyle w:val="SubHead2"/>
      </w:pPr>
      <w:r w:rsidRPr="006D071D">
        <w:t>Using a rolling window</w:t>
      </w:r>
    </w:p>
    <w:p w:rsidR="006D071D" w:rsidRDefault="006D071D" w:rsidP="006D071D">
      <w:r>
        <w:t>Establishing sampling requirements within a rolling time period ensures that the data collected through the program is continually updated.</w:t>
      </w:r>
      <w:r w:rsidR="00A53693">
        <w:t xml:space="preserve"> The FREP program has </w:t>
      </w:r>
      <w:r w:rsidR="003601C8">
        <w:t>sometimes</w:t>
      </w:r>
      <w:r w:rsidR="00A53693">
        <w:t xml:space="preserve"> received criticism for the use and/or reliance on older data. This design feature is a significant advancement because it forces the sampling program to keep data collection current.</w:t>
      </w:r>
    </w:p>
    <w:p w:rsidR="0018377B" w:rsidRPr="002B118C" w:rsidRDefault="0018377B" w:rsidP="002B118C">
      <w:pPr>
        <w:pStyle w:val="SubHead2"/>
      </w:pPr>
      <w:r w:rsidRPr="002B118C">
        <w:t>Using older data</w:t>
      </w:r>
    </w:p>
    <w:p w:rsidR="00C502E1" w:rsidRDefault="006D071D" w:rsidP="00A53693">
      <w:r>
        <w:t xml:space="preserve">Although older data is “dropped” from the rolling window being applied to ensure ongoing collection of updated data, the older data is not lost and continues to be valid </w:t>
      </w:r>
      <w:r w:rsidR="003601C8">
        <w:t>for</w:t>
      </w:r>
      <w:r>
        <w:t xml:space="preserve"> the period in which it was collected. All of the data (recent and older) is maintained in the database and thus still allows comparisons to be made between periods and/or analyses within particular windows of interest. Ongoing sampling will also allow trend analys</w:t>
      </w:r>
      <w:r w:rsidR="00A53693">
        <w:t xml:space="preserve">es to be conducted. By ensuring a minimum level </w:t>
      </w:r>
      <w:r w:rsidR="00AA4392">
        <w:t>of data in every 5 year period going forward</w:t>
      </w:r>
      <w:r w:rsidR="00A53693">
        <w:t>, this design enhances the ability to perform such temporal analyses in the future.</w:t>
      </w:r>
    </w:p>
    <w:p w:rsidR="0018377B" w:rsidRPr="006D071D" w:rsidRDefault="006D071D" w:rsidP="002B118C">
      <w:pPr>
        <w:pStyle w:val="SubHead2"/>
      </w:pPr>
      <w:r w:rsidRPr="006D071D">
        <w:t>Allow</w:t>
      </w:r>
      <w:r w:rsidR="00B865B7">
        <w:t>ing</w:t>
      </w:r>
      <w:r w:rsidR="0018377B" w:rsidRPr="006D071D">
        <w:t xml:space="preserve"> flexibility</w:t>
      </w:r>
    </w:p>
    <w:p w:rsidR="00C502E1" w:rsidRDefault="006D071D" w:rsidP="006D071D">
      <w:r>
        <w:t xml:space="preserve">Establishing minimum sampling requirements within a rolling window, as compared with an annual threshold, gives </w:t>
      </w:r>
      <w:r w:rsidR="00B766CA">
        <w:t>district</w:t>
      </w:r>
      <w:r>
        <w:t xml:space="preserve">s flexibility in deciding how to </w:t>
      </w:r>
      <w:r w:rsidR="00C502E1">
        <w:t xml:space="preserve">achieve the </w:t>
      </w:r>
      <w:r>
        <w:t>minimums across values.</w:t>
      </w:r>
    </w:p>
    <w:p w:rsidR="00BA3A7F" w:rsidRDefault="00BA3A7F" w:rsidP="002B118C">
      <w:pPr>
        <w:pStyle w:val="Heading3"/>
      </w:pPr>
      <w:bookmarkStart w:id="31" w:name="_Toc442204972"/>
      <w:r>
        <w:t xml:space="preserve">Rationale for </w:t>
      </w:r>
      <w:r w:rsidR="0031312F">
        <w:t>specific elements of design</w:t>
      </w:r>
      <w:bookmarkEnd w:id="31"/>
    </w:p>
    <w:p w:rsidR="00161AB8" w:rsidRDefault="00161AB8" w:rsidP="002B118C">
      <w:pPr>
        <w:pStyle w:val="Heading4"/>
      </w:pPr>
      <w:r>
        <w:t xml:space="preserve">Number of </w:t>
      </w:r>
      <w:r w:rsidR="0031312F">
        <w:t>values</w:t>
      </w:r>
    </w:p>
    <w:p w:rsidR="00A37F4F" w:rsidRDefault="00A37F4F" w:rsidP="00A37F4F">
      <w:r>
        <w:t xml:space="preserve">This framework is </w:t>
      </w:r>
      <w:r w:rsidR="0014250B">
        <w:t xml:space="preserve">intended </w:t>
      </w:r>
      <w:r>
        <w:t xml:space="preserve">to apply to seven of the FREP values (stand-level biodiversity, riparian, water quality, visual quality, cultural heritage resources, stand development monitoring, and stand-level wildlife) for all districts, plus karst for five districts. </w:t>
      </w:r>
      <w:r w:rsidR="008767AB">
        <w:t xml:space="preserve">These are the core FREP values, as defined in Section </w:t>
      </w:r>
      <w:r w:rsidR="002D3AE6">
        <w:fldChar w:fldCharType="begin"/>
      </w:r>
      <w:r w:rsidR="002D3AE6">
        <w:instrText xml:space="preserve"> REF _Ref442204577 \r \h </w:instrText>
      </w:r>
      <w:r w:rsidR="002D3AE6">
        <w:fldChar w:fldCharType="separate"/>
      </w:r>
      <w:r w:rsidR="002D3AE6">
        <w:t>B.1</w:t>
      </w:r>
      <w:r w:rsidR="002D3AE6">
        <w:fldChar w:fldCharType="end"/>
      </w:r>
      <w:r w:rsidR="002D3AE6">
        <w:t>.</w:t>
      </w:r>
    </w:p>
    <w:p w:rsidR="00161AB8" w:rsidRDefault="00161AB8" w:rsidP="002B118C">
      <w:pPr>
        <w:pStyle w:val="Heading4"/>
      </w:pPr>
      <w:r>
        <w:t xml:space="preserve">Number of </w:t>
      </w:r>
      <w:r w:rsidR="0031312F">
        <w:t>samples</w:t>
      </w:r>
    </w:p>
    <w:p w:rsidR="00161AB8" w:rsidRPr="0056462F" w:rsidRDefault="00161AB8" w:rsidP="002B118C">
      <w:pPr>
        <w:pStyle w:val="SubHead1"/>
      </w:pPr>
      <w:r w:rsidRPr="0056462F">
        <w:t xml:space="preserve">Minimum </w:t>
      </w:r>
      <w:r w:rsidR="00650F65" w:rsidRPr="0056462F">
        <w:t>target</w:t>
      </w:r>
    </w:p>
    <w:p w:rsidR="00181CC7" w:rsidRDefault="00F02658" w:rsidP="00F02658">
      <w:r>
        <w:t>We have recommended using 30 samples as the minimum target to be achieved by value within the 5-year rolling window</w:t>
      </w:r>
      <w:r w:rsidR="0077446A">
        <w:t>, based on statistical and logistical considerations. In sampling design, n=30 is a commonly used a rule of thumb because the mean of sampled data starts to approximate a normal distribution when n&gt;30. A sample size of 30 is therefore generally large enough to be able to make some conclusion</w:t>
      </w:r>
      <w:r w:rsidR="00D2043A">
        <w:t>s</w:t>
      </w:r>
      <w:r w:rsidR="0077446A">
        <w:t xml:space="preserve">. </w:t>
      </w:r>
      <w:r w:rsidR="00AD1F22">
        <w:t xml:space="preserve">This </w:t>
      </w:r>
      <w:r w:rsidR="00D2043A">
        <w:t xml:space="preserve">also </w:t>
      </w:r>
      <w:r w:rsidR="00AD1F22">
        <w:t xml:space="preserve">aligns with existing FREP guidance, which identifies a target of 30 samples per value for MRVA reports (see FREP Technical Note #6) to “increase precision and account for variability”. </w:t>
      </w:r>
      <w:r w:rsidR="003317F7">
        <w:t>Additional support was provided through a preliminary review of the FREP data for the riparian value, which showed</w:t>
      </w:r>
      <w:r w:rsidR="003601C8">
        <w:t xml:space="preserve"> that</w:t>
      </w:r>
      <w:r w:rsidR="003317F7">
        <w:t xml:space="preserve"> district estimates of the mean and standard deviation of the performance metric (i.e., number of NOs) were still highly variab</w:t>
      </w:r>
      <w:r w:rsidR="003601C8">
        <w:t>le</w:t>
      </w:r>
      <w:r w:rsidR="003317F7">
        <w:t xml:space="preserve"> </w:t>
      </w:r>
      <w:r w:rsidR="003601C8">
        <w:t>when</w:t>
      </w:r>
      <w:r w:rsidR="003317F7">
        <w:t xml:space="preserve"> n&lt;20. The estimates for many districts began to </w:t>
      </w:r>
      <w:r w:rsidR="003317F7">
        <w:lastRenderedPageBreak/>
        <w:t xml:space="preserve">stabilize with n&gt;30 but some did not stabilize until they had 40 or 50 samples. A </w:t>
      </w:r>
      <w:r w:rsidR="00AD1F22">
        <w:t>cursory</w:t>
      </w:r>
      <w:r w:rsidR="003317F7">
        <w:t xml:space="preserve"> review of key performance metrics for the s</w:t>
      </w:r>
      <w:r w:rsidR="00AD1F22">
        <w:t>tand-level biodiversity and water quality values showed similar broad patterns. However, feasibility is also a critical factor</w:t>
      </w:r>
      <w:r w:rsidR="00D2043A">
        <w:t xml:space="preserve">. A target of </w:t>
      </w:r>
      <w:r w:rsidR="00AD1F22">
        <w:t xml:space="preserve">30 samples </w:t>
      </w:r>
      <w:r w:rsidR="003601C8">
        <w:t xml:space="preserve">is </w:t>
      </w:r>
      <w:r w:rsidR="00D2043A">
        <w:t>achievable and a</w:t>
      </w:r>
      <w:r w:rsidR="00AD1F22">
        <w:t>lthough some districts/values could require much higher sampling</w:t>
      </w:r>
      <w:r w:rsidR="003601C8">
        <w:t xml:space="preserve"> to achieve similar levels of precision</w:t>
      </w:r>
      <w:r w:rsidR="00AD1F22">
        <w:t>, such levels do not appear to be currently feasible</w:t>
      </w:r>
      <w:r w:rsidR="005A1CA1">
        <w:t xml:space="preserve"> given resource constraints</w:t>
      </w:r>
      <w:r w:rsidR="00AD1F22">
        <w:t xml:space="preserve">. </w:t>
      </w:r>
      <w:r w:rsidR="00E9633E">
        <w:t>W</w:t>
      </w:r>
      <w:r w:rsidR="003601C8">
        <w:t>e recommend starting with a uniform target rather than starting with different targets for every district-value combination.</w:t>
      </w:r>
    </w:p>
    <w:p w:rsidR="00181CC7" w:rsidRDefault="005A1CA1" w:rsidP="00647587">
      <w:r>
        <w:t>As the recommendation must apply across all districts, values and PMs, a minimum target of 30 is a good initial starting place.</w:t>
      </w:r>
      <w:r w:rsidR="00181CC7">
        <w:t xml:space="preserve"> Our experience from other monitoring programs is that starting with a reasonable initial target (i.e., simple, achievable, and robust) that is sufficient to move forward is more crit</w:t>
      </w:r>
      <w:r w:rsidR="008A373F">
        <w:t xml:space="preserve">ical than trying to determine the “perfect” set of targets, as the costs of the additional complexity can </w:t>
      </w:r>
      <w:r w:rsidR="003601C8">
        <w:t xml:space="preserve">easily </w:t>
      </w:r>
      <w:r w:rsidR="008A373F">
        <w:t xml:space="preserve">outweigh the benefits, especially if it results in delayed implementation. As additional data is collected, especially for those values with limited data currently, </w:t>
      </w:r>
      <w:r w:rsidR="003601C8">
        <w:t>this</w:t>
      </w:r>
      <w:r w:rsidR="008A373F">
        <w:t xml:space="preserve"> target can be re-evaluated</w:t>
      </w:r>
      <w:r w:rsidR="0008396B">
        <w:t xml:space="preserve"> based on </w:t>
      </w:r>
      <w:r w:rsidR="003601C8">
        <w:t xml:space="preserve">the </w:t>
      </w:r>
      <w:r w:rsidR="0008396B">
        <w:t>variability within districts and values</w:t>
      </w:r>
      <w:r w:rsidR="008A373F">
        <w:t xml:space="preserve">. </w:t>
      </w:r>
      <w:r w:rsidR="003601C8">
        <w:t>S</w:t>
      </w:r>
      <w:r w:rsidR="008A373F">
        <w:t>etting a uniform target across values does not preclude future modification because it does not change the core design.</w:t>
      </w:r>
    </w:p>
    <w:p w:rsidR="002A5C30" w:rsidRDefault="0008396B" w:rsidP="002A5C30">
      <w:r>
        <w:t>Ultimately, users want to know when they have “enough” data to answer their questions</w:t>
      </w:r>
      <w:r w:rsidR="00370613">
        <w:t>. However, this question cannot be comprehensively addressed because there are too many questions of interest, some are not well-defined and many values do not yet have sufficient data to fully understand the variability in the data</w:t>
      </w:r>
      <w:r>
        <w:t xml:space="preserve">. </w:t>
      </w:r>
      <w:r w:rsidR="00F267B1">
        <w:t xml:space="preserve">For specific, well-defined questions, power analyses could be used to </w:t>
      </w:r>
      <w:r w:rsidR="002A5C30">
        <w:t>determ</w:t>
      </w:r>
      <w:r w:rsidR="00F267B1">
        <w:t xml:space="preserve">ine how much data is necessary to answer the question. </w:t>
      </w:r>
      <w:r w:rsidR="002A5C30">
        <w:t xml:space="preserve">The ultimate objective of power analyses is to understand how successful a sampling design will be at correctly detecting an effect when that effect has indeed occurred, and how likely it would be to 1) falsely conclude that an effect has occurred when it has not, or 2) fail to detect an effect when it has actually occurred. Power analyses require having a clearly defined question and </w:t>
      </w:r>
      <w:r w:rsidR="00F267B1">
        <w:t xml:space="preserve">estimates of how variable the data </w:t>
      </w:r>
      <w:r w:rsidR="00703663">
        <w:t>is. It is also important to understand the level of precision that is required</w:t>
      </w:r>
      <w:r w:rsidR="003601C8">
        <w:t xml:space="preserve"> by the end users</w:t>
      </w:r>
      <w:r w:rsidR="00703663">
        <w:t xml:space="preserve"> (e.g., how will the precision influence the conclusions or decisions based on the data). However, c</w:t>
      </w:r>
      <w:r w:rsidR="002A5C30">
        <w:t xml:space="preserve">onducting power analyses can be very </w:t>
      </w:r>
      <w:r w:rsidR="00AA6C79">
        <w:t>complex and involving</w:t>
      </w:r>
      <w:r w:rsidR="002A5C30">
        <w:t xml:space="preserve"> even for a single </w:t>
      </w:r>
      <w:r w:rsidR="00703663">
        <w:t xml:space="preserve">question; therefore it would </w:t>
      </w:r>
      <w:r w:rsidR="00F267B1">
        <w:t>be infeasible to perform power analyses for all of the questions for which the FREP monitoring data are used.</w:t>
      </w:r>
      <w:r w:rsidR="008052D5">
        <w:t xml:space="preserve"> Such analyses may also reveal that the level of precision that is desired by users cannot be achieved with existing levels of data collection (e.g., previous power analyses conducted within the FREP program; W. Bergerud, pers. comm.)</w:t>
      </w:r>
      <w:r w:rsidR="003601C8">
        <w:t>.</w:t>
      </w:r>
    </w:p>
    <w:p w:rsidR="00161AB8" w:rsidRDefault="007C732A" w:rsidP="00161AB8">
      <w:r>
        <w:t xml:space="preserve">As discussed in Section </w:t>
      </w:r>
      <w:r w:rsidR="00495B9B">
        <w:fldChar w:fldCharType="begin"/>
      </w:r>
      <w:r w:rsidR="00647587">
        <w:instrText xml:space="preserve"> REF _Ref438212216 \r \h </w:instrText>
      </w:r>
      <w:r w:rsidR="00495B9B">
        <w:fldChar w:fldCharType="separate"/>
      </w:r>
      <w:r w:rsidR="005E13E6">
        <w:t>B.2</w:t>
      </w:r>
      <w:r w:rsidR="00495B9B">
        <w:fldChar w:fldCharType="end"/>
      </w:r>
      <w:r>
        <w:t xml:space="preserve">, sample size is much more important in determining the precision of the estimate than the sampling fraction (i.e., sample size as a proportion of the population size, </w:t>
      </w:r>
      <w:r>
        <w:rPr>
          <w:i/>
        </w:rPr>
        <w:t xml:space="preserve">n/N). </w:t>
      </w:r>
      <w:r>
        <w:t>The relevance to the current situation is that even though the population size (</w:t>
      </w:r>
      <w:r>
        <w:rPr>
          <w:i/>
        </w:rPr>
        <w:t>N</w:t>
      </w:r>
      <w:r>
        <w:t>) varies from 100s to 1000s among the districts, those differences are not as important to the precision of the district-level estimates as the sample size (</w:t>
      </w:r>
      <w:r>
        <w:rPr>
          <w:i/>
        </w:rPr>
        <w:t>n</w:t>
      </w:r>
      <w:r>
        <w:t xml:space="preserve">), which in this case has been </w:t>
      </w:r>
      <w:r w:rsidR="003601C8">
        <w:t>recommended</w:t>
      </w:r>
      <w:r>
        <w:t xml:space="preserve"> as n=30. Although some districts </w:t>
      </w:r>
      <w:r w:rsidR="00161AB8">
        <w:t xml:space="preserve">have a much larger population size of </w:t>
      </w:r>
      <w:proofErr w:type="spellStart"/>
      <w:r w:rsidR="00161AB8">
        <w:t>cutblocks</w:t>
      </w:r>
      <w:proofErr w:type="spellEnd"/>
      <w:r w:rsidR="00161AB8">
        <w:t xml:space="preserve">, they do not </w:t>
      </w:r>
      <w:r w:rsidR="00D83103">
        <w:t>inherently</w:t>
      </w:r>
      <w:r w:rsidR="00161AB8">
        <w:t xml:space="preserve"> require </w:t>
      </w:r>
      <w:r w:rsidR="00D83103">
        <w:t xml:space="preserve">a </w:t>
      </w:r>
      <w:r w:rsidR="00161AB8">
        <w:t>larger sample size to generate an estimate with an acceptable level of precision, and conversely, it is not appropriate to reduce the sample size for those districts with smaller</w:t>
      </w:r>
      <w:r>
        <w:t xml:space="preserve"> population sizes</w:t>
      </w:r>
      <w:r>
        <w:rPr>
          <w:rStyle w:val="FootnoteReference"/>
        </w:rPr>
        <w:footnoteReference w:id="9"/>
      </w:r>
      <w:r>
        <w:t>.</w:t>
      </w:r>
    </w:p>
    <w:p w:rsidR="008052D5" w:rsidRDefault="008052D5" w:rsidP="008052D5">
      <w:r w:rsidRPr="0008396B">
        <w:lastRenderedPageBreak/>
        <w:t>Using 30 samples as the minimum target to be achieved by value within the 5-year rolling window</w:t>
      </w:r>
      <w:r>
        <w:t xml:space="preserve"> will provide good information for moving forward and can be further evaluated in the future.</w:t>
      </w:r>
    </w:p>
    <w:p w:rsidR="00161AB8" w:rsidRPr="002B118C" w:rsidRDefault="00161AB8" w:rsidP="002B118C">
      <w:pPr>
        <w:pStyle w:val="SubHead1"/>
      </w:pPr>
      <w:r w:rsidRPr="002B118C">
        <w:t>Inter-annual frequency of sampling value</w:t>
      </w:r>
    </w:p>
    <w:p w:rsidR="002665FA" w:rsidRDefault="00F02658" w:rsidP="00F02658">
      <w:r>
        <w:t xml:space="preserve">The sampling frame for most of the FREP values is based on </w:t>
      </w:r>
      <w:proofErr w:type="spellStart"/>
      <w:r>
        <w:t>cutblocks</w:t>
      </w:r>
      <w:proofErr w:type="spellEnd"/>
      <w:r>
        <w:t xml:space="preserve"> that have been harvested within the previous three years</w:t>
      </w:r>
      <w:r w:rsidR="002665FA">
        <w:rPr>
          <w:rStyle w:val="FootnoteReference"/>
        </w:rPr>
        <w:footnoteReference w:id="10"/>
      </w:r>
      <w:r>
        <w:t>. An important statistical principl</w:t>
      </w:r>
      <w:r w:rsidR="002665FA">
        <w:t>e</w:t>
      </w:r>
      <w:r>
        <w:t xml:space="preserve"> for the sampling design is that every eligible </w:t>
      </w:r>
      <w:proofErr w:type="spellStart"/>
      <w:r>
        <w:t>cutblock</w:t>
      </w:r>
      <w:proofErr w:type="spellEnd"/>
      <w:r>
        <w:t xml:space="preserve"> must have a chance of being selected for sampling, </w:t>
      </w:r>
      <w:r w:rsidR="002665FA">
        <w:t>which means</w:t>
      </w:r>
      <w:r>
        <w:t xml:space="preserve"> the frequency of sampling </w:t>
      </w:r>
      <w:r w:rsidR="002665FA">
        <w:t xml:space="preserve">each FREP values </w:t>
      </w:r>
      <w:r>
        <w:t xml:space="preserve">needs to </w:t>
      </w:r>
      <w:r w:rsidRPr="002665FA">
        <w:t>be at least</w:t>
      </w:r>
      <w:r>
        <w:t xml:space="preserve"> every three years to achieve this requirement. This </w:t>
      </w:r>
      <w:r w:rsidR="002665FA">
        <w:t>principle</w:t>
      </w:r>
      <w:r>
        <w:t xml:space="preserve"> </w:t>
      </w:r>
      <w:r w:rsidR="002665FA">
        <w:t>is echoed in</w:t>
      </w:r>
      <w:r>
        <w:t xml:space="preserve"> FREP Technical Note #6, which describes that part of the rationale for using a rolling population was to provide redundancy such that even with little or no sampling in a particular year, every harvest year still had the potential to be sampled.</w:t>
      </w:r>
      <w:r w:rsidR="002665FA">
        <w:t xml:space="preserve"> Therefore our recommendation is that for each value in each district, sampling can occur annually </w:t>
      </w:r>
      <w:r w:rsidR="00FB7DCC">
        <w:t>or with gaps of 1-2 years. The temporal allocation of samples for each value can be variable as long as they are sampled a minimum of every third year and meet the minimum total samples within the 5-year rolling window.</w:t>
      </w:r>
    </w:p>
    <w:p w:rsidR="00FB7DCC" w:rsidRDefault="00FB7DCC" w:rsidP="00F02658">
      <w:r>
        <w:t xml:space="preserve">This approach gives districts flexibility </w:t>
      </w:r>
      <w:r w:rsidR="00F80D57">
        <w:t>in their planning as long as the minimum totals and minimum frequency are achieved. For example, d</w:t>
      </w:r>
      <w:r>
        <w:t>istricts will have the flexibility to alternate among the values</w:t>
      </w:r>
      <w:r w:rsidR="00F80D57">
        <w:t xml:space="preserve"> if beneficial. In particular, this could provide useful flexibility around training requirements. Concerns with the time and resources required for training were raised </w:t>
      </w:r>
      <w:r w:rsidR="00D83103">
        <w:t>in</w:t>
      </w:r>
      <w:r w:rsidR="00F80D57">
        <w:t xml:space="preserve"> the survey </w:t>
      </w:r>
      <w:r w:rsidR="00D83103">
        <w:t xml:space="preserve">results </w:t>
      </w:r>
      <w:r w:rsidR="00F80D57">
        <w:t>and workshop</w:t>
      </w:r>
      <w:r w:rsidR="00D83103">
        <w:t xml:space="preserve"> discussions</w:t>
      </w:r>
      <w:r w:rsidR="00F80D57">
        <w:t>. The present approach would allow districts to determine if there could be efficiency gains from strategically planning the sampling of certain values. For values that require substantial new training each year they are implemented, districts could opt to sample every 2-3 years, thus limiting the high training costs (</w:t>
      </w:r>
      <w:r w:rsidR="00D83103">
        <w:t xml:space="preserve">e.g., </w:t>
      </w:r>
      <w:r w:rsidR="00F80D57">
        <w:t xml:space="preserve">time, funding, initially slow productivity) to fewer years. However, districts might also determine that </w:t>
      </w:r>
      <w:r w:rsidR="0055352C">
        <w:t xml:space="preserve">for certain values </w:t>
      </w:r>
      <w:r w:rsidR="00F80D57">
        <w:t xml:space="preserve">sampling annually is </w:t>
      </w:r>
      <w:r w:rsidR="0055352C">
        <w:t>the best approach. Either way, districts would have the flexibility to evaluate those tradeoffs.</w:t>
      </w:r>
    </w:p>
    <w:p w:rsidR="00836271" w:rsidRDefault="0056462F" w:rsidP="002B118C">
      <w:pPr>
        <w:pStyle w:val="Heading4"/>
      </w:pPr>
      <w:r>
        <w:t xml:space="preserve">Size of </w:t>
      </w:r>
      <w:r w:rsidR="0031312F">
        <w:t>rolling window</w:t>
      </w:r>
    </w:p>
    <w:p w:rsidR="00A0513D" w:rsidRDefault="00A0513D" w:rsidP="0055352C">
      <w:r>
        <w:t>The appropriate time frame to use should be based on an understanding of how biological and management attributes change over time, in order to define an appropriate window for characterizing “current” condition. A five-year window has been selected based on expert input from the FREP advisory team. The FREP program has received criticism about data that is greater than 5 years old being out of date with respect to representing current conditions, therefore a 5-year window will ensure data collection is kept current.</w:t>
      </w:r>
      <w:r w:rsidR="00930885">
        <w:t xml:space="preserve"> However, any window smaller than 5 years is likely to be too narrow for logistical reasons – that is, achieving the minimum number of samples per value within the window would be infeasible given realistic levels of effort.</w:t>
      </w:r>
    </w:p>
    <w:p w:rsidR="00930885" w:rsidRDefault="00930885" w:rsidP="0055352C">
      <w:r>
        <w:t xml:space="preserve">As more data is collected, especially for values with less </w:t>
      </w:r>
      <w:r w:rsidR="00D83103">
        <w:t>historic sampling</w:t>
      </w:r>
      <w:r>
        <w:t xml:space="preserve">, the definition of the rolling window can be evaluated quantitatively and compared with alternate lengths. A key factor for determining the appropriate window </w:t>
      </w:r>
      <w:proofErr w:type="gramStart"/>
      <w:r>
        <w:t>is understanding</w:t>
      </w:r>
      <w:proofErr w:type="gramEnd"/>
      <w:r>
        <w:t xml:space="preserve"> how quickly potentially confounding factors change over time. These changes could include directional shifts, such as climate change trends or </w:t>
      </w:r>
      <w:r>
        <w:lastRenderedPageBreak/>
        <w:t xml:space="preserve">changes in management actions, or cyclical patterns, such as climate oscillations or natural biological cycles. However, 7-10 years of </w:t>
      </w:r>
      <w:r w:rsidR="00391904">
        <w:t xml:space="preserve">data (varying by value) is insufficient for rigorously </w:t>
      </w:r>
      <w:r w:rsidR="00D83103">
        <w:t>assessing whether</w:t>
      </w:r>
      <w:r w:rsidR="00391904">
        <w:t xml:space="preserve"> multi-year to decadal temporal cycles</w:t>
      </w:r>
      <w:r w:rsidR="00D83103">
        <w:t xml:space="preserve"> </w:t>
      </w:r>
      <w:proofErr w:type="gramStart"/>
      <w:r w:rsidR="00D83103">
        <w:t>exist</w:t>
      </w:r>
      <w:proofErr w:type="gramEnd"/>
      <w:r w:rsidR="00391904">
        <w:t>. We cannot therefore conclusively evaluate the appropriate window size with the existing data at present. Additional years of data are required to be able to quantitatively identify temporal cycles. For now, it is appropriate to use an expert-defined window as a starting point. This definition of the rolling window can be adjusted in the future as further learning occurs.</w:t>
      </w:r>
    </w:p>
    <w:p w:rsidR="00A37F4F" w:rsidRDefault="00B865B7" w:rsidP="00EF3C18">
      <w:r>
        <w:t xml:space="preserve">It should be emphasized that </w:t>
      </w:r>
      <w:r w:rsidR="00A37F4F">
        <w:t xml:space="preserve">requiring a minimum number of samples within a rolling window is a way of structuring data collection, but it does </w:t>
      </w:r>
      <w:r w:rsidR="0048667A">
        <w:t xml:space="preserve">not </w:t>
      </w:r>
      <w:r w:rsidR="00A37F4F">
        <w:t>impede</w:t>
      </w:r>
      <w:r w:rsidR="00234A21">
        <w:t xml:space="preserve"> the ability to perform analyses over broader time periods. As </w:t>
      </w:r>
      <w:r w:rsidR="00413099">
        <w:t>noted earlier</w:t>
      </w:r>
      <w:r w:rsidR="00234A21">
        <w:t>, the older data is not lost and remains valid for the time period in which it was collected</w:t>
      </w:r>
      <w:r w:rsidR="00413099">
        <w:t>. R</w:t>
      </w:r>
      <w:r w:rsidR="00234A21">
        <w:t xml:space="preserve">eporting and analyses can be </w:t>
      </w:r>
      <w:r w:rsidR="00413099">
        <w:t>performed over different windows as necessary</w:t>
      </w:r>
      <w:r w:rsidR="00234A21">
        <w:t>. A user could evaluate the differences between periods or analyze trends over time. The rolling window minimums simply ensure that recent data continues to be added to the data set.</w:t>
      </w:r>
    </w:p>
    <w:p w:rsidR="00836271" w:rsidRDefault="00390BC8" w:rsidP="002B118C">
      <w:pPr>
        <w:pStyle w:val="Heading2"/>
      </w:pPr>
      <w:bookmarkStart w:id="32" w:name="_Toc442204973"/>
      <w:r>
        <w:t>Implementation</w:t>
      </w:r>
      <w:bookmarkEnd w:id="32"/>
    </w:p>
    <w:p w:rsidR="00A55FE8" w:rsidRDefault="0027639F" w:rsidP="0027639F">
      <w:r>
        <w:t xml:space="preserve">We have developed a simple, prospective planning tool to help allocate future sampling efforts across values such that the minimum sampling requirements evaluate whether those </w:t>
      </w:r>
      <w:r w:rsidR="0048667A">
        <w:t xml:space="preserve">sampling </w:t>
      </w:r>
      <w:r>
        <w:t xml:space="preserve">plans will achieve and maintain the </w:t>
      </w:r>
      <w:r w:rsidR="0025191A">
        <w:t xml:space="preserve">target minimums </w:t>
      </w:r>
      <w:r>
        <w:t xml:space="preserve">and allow the level of effort across years to be balanced in a feasible way. Plans are not locked in place and are expected to evolve as unanticipated constraints or opportunities arise. However, </w:t>
      </w:r>
      <w:r w:rsidR="00DE402D">
        <w:t>it is critical to plan well ahead, to anticipate and account for large “blocks” of sampling “falling out” of the rolling window</w:t>
      </w:r>
      <w:r w:rsidR="007E2A71">
        <w:t xml:space="preserve">. Otherwise, the sampling </w:t>
      </w:r>
      <w:r w:rsidR="00D83103">
        <w:t>rate may be erratic over time.</w:t>
      </w:r>
    </w:p>
    <w:p w:rsidR="007E2A71" w:rsidRDefault="007E2A71" w:rsidP="0027639F">
      <w:r>
        <w:t xml:space="preserve">The suggested approach for effective, proactive planning includes </w:t>
      </w:r>
      <w:r w:rsidR="00A71E48">
        <w:t>four</w:t>
      </w:r>
      <w:r>
        <w:t xml:space="preserve"> steps:</w:t>
      </w:r>
    </w:p>
    <w:p w:rsidR="007E2A71" w:rsidRDefault="007E2A71" w:rsidP="00EC2B95">
      <w:pPr>
        <w:pStyle w:val="ListParagraph"/>
        <w:numPr>
          <w:ilvl w:val="0"/>
          <w:numId w:val="9"/>
        </w:numPr>
      </w:pPr>
      <w:r>
        <w:t xml:space="preserve">Identify what the ideal sampling frequency by value needed to </w:t>
      </w:r>
      <w:r>
        <w:rPr>
          <w:i/>
        </w:rPr>
        <w:t>maintain</w:t>
      </w:r>
      <w:r>
        <w:t xml:space="preserve"> alignment with the minimums would look like and enter this is the latter half of the planning window (i.e., 2020-2025). As described earlier, this does not necessarily have to be uniform, annual sampling and may vary by value, as determined by the district.</w:t>
      </w:r>
    </w:p>
    <w:p w:rsidR="007E2A71" w:rsidRDefault="007E2A71" w:rsidP="00EC2B95">
      <w:pPr>
        <w:pStyle w:val="ListParagraph"/>
        <w:numPr>
          <w:ilvl w:val="0"/>
          <w:numId w:val="9"/>
        </w:numPr>
      </w:pPr>
      <w:r>
        <w:t xml:space="preserve">Work backwards over the first half of the planning window to determine sampling required in next few years to successfully bring </w:t>
      </w:r>
      <w:r w:rsidR="00A71E48">
        <w:t xml:space="preserve">the </w:t>
      </w:r>
      <w:r>
        <w:t>current the sampling record into alignment with the desired</w:t>
      </w:r>
      <w:r w:rsidR="00A71E48">
        <w:t xml:space="preserve"> longer-term sampling patterns and the required minimums</w:t>
      </w:r>
      <w:r w:rsidR="00D83103">
        <w:rPr>
          <w:rStyle w:val="FootnoteReference"/>
        </w:rPr>
        <w:footnoteReference w:id="11"/>
      </w:r>
      <w:r w:rsidR="00A71E48">
        <w:t>.</w:t>
      </w:r>
    </w:p>
    <w:p w:rsidR="007E2A71" w:rsidRDefault="00A71E48" w:rsidP="00EC2B95">
      <w:pPr>
        <w:pStyle w:val="ListParagraph"/>
        <w:numPr>
          <w:ilvl w:val="0"/>
          <w:numId w:val="9"/>
        </w:numPr>
      </w:pPr>
      <w:r>
        <w:t>Make adjustments as necessary to resolve any potential issues (e.g., cumulative total sampling within a particular year is predicted to be infeasibl</w:t>
      </w:r>
      <w:r w:rsidR="00941AE9">
        <w:t>e</w:t>
      </w:r>
      <w:r>
        <w:t>).</w:t>
      </w:r>
    </w:p>
    <w:p w:rsidR="00A71E48" w:rsidRDefault="00A71E48" w:rsidP="00EC2B95">
      <w:pPr>
        <w:pStyle w:val="ListParagraph"/>
        <w:numPr>
          <w:ilvl w:val="0"/>
          <w:numId w:val="9"/>
        </w:numPr>
      </w:pPr>
      <w:r>
        <w:t xml:space="preserve">Revisit each year. Update the sampling record for the past </w:t>
      </w:r>
      <w:proofErr w:type="gramStart"/>
      <w:r>
        <w:t>year,</w:t>
      </w:r>
      <w:proofErr w:type="gramEnd"/>
      <w:r>
        <w:t xml:space="preserve"> confirm whether the prospective plan is still ap</w:t>
      </w:r>
      <w:r w:rsidR="00941AE9">
        <w:t>propriate. Adjust as necessary.</w:t>
      </w:r>
    </w:p>
    <w:p w:rsidR="00941AE9" w:rsidRDefault="00941AE9" w:rsidP="00941AE9">
      <w:r>
        <w:t xml:space="preserve">Several examples </w:t>
      </w:r>
      <w:r w:rsidR="00E124AC">
        <w:t xml:space="preserve">of sampling plans developed through this prospective approach </w:t>
      </w:r>
      <w:r>
        <w:t xml:space="preserve">are provided in </w:t>
      </w:r>
      <w:r w:rsidRPr="00184F6E">
        <w:t>Appendix</w:t>
      </w:r>
      <w:r w:rsidR="009D13B3">
        <w:t xml:space="preserve"> 3</w:t>
      </w:r>
      <w:r w:rsidR="00E124AC">
        <w:t>, including a district with high sampling in recent years, another district with very low sampling in recent years, plus a few alternate allocations of sampling effort for a single district to demonstrate the flexibility permitted.</w:t>
      </w:r>
    </w:p>
    <w:p w:rsidR="00A71E48" w:rsidRDefault="00A71E48" w:rsidP="0027639F">
      <w:r>
        <w:lastRenderedPageBreak/>
        <w:t xml:space="preserve">By contrast to the proactive approach, </w:t>
      </w:r>
      <w:r w:rsidR="00D83103">
        <w:t xml:space="preserve">a reactive approach would </w:t>
      </w:r>
      <w:r>
        <w:t xml:space="preserve">fail to look at the longer term planning window </w:t>
      </w:r>
      <w:r w:rsidR="00D83103">
        <w:t xml:space="preserve">and </w:t>
      </w:r>
      <w:r w:rsidR="00232B9D">
        <w:t>only</w:t>
      </w:r>
      <w:r w:rsidR="00D83103">
        <w:t xml:space="preserve"> consider the immediate context</w:t>
      </w:r>
      <w:r w:rsidR="00232B9D">
        <w:t>. Reactive planning leads to</w:t>
      </w:r>
      <w:r>
        <w:t xml:space="preserve"> a more varia</w:t>
      </w:r>
      <w:r w:rsidR="00232B9D">
        <w:t>ble prospective sampling record because it does not consider the effects of existing large “blocks” of samples in the sampling record until they “fall out” and need to be replaced</w:t>
      </w:r>
      <w:r w:rsidR="00D83103">
        <w:t xml:space="preserve"> immediately</w:t>
      </w:r>
      <w:r w:rsidR="00232B9D">
        <w:t xml:space="preserve">, and it does not consider unintended creation of such blocks in the record. At the extreme, the most reactionary planning would only consider the upcoming year and would preferentially direct all sampling efforts to the values furthest below their minimums (see </w:t>
      </w:r>
      <w:r w:rsidR="00E124AC">
        <w:t xml:space="preserve">final </w:t>
      </w:r>
      <w:r w:rsidR="00232B9D">
        <w:t xml:space="preserve">example in </w:t>
      </w:r>
      <w:r w:rsidR="00184F6E" w:rsidRPr="00184F6E">
        <w:t>Appendix</w:t>
      </w:r>
      <w:r w:rsidR="009D13B3">
        <w:t xml:space="preserve"> 3</w:t>
      </w:r>
      <w:r w:rsidR="00232B9D">
        <w:t>)</w:t>
      </w:r>
      <w:r w:rsidR="00D83103">
        <w:t>.</w:t>
      </w:r>
    </w:p>
    <w:p w:rsidR="00282F2B" w:rsidRDefault="00282F2B">
      <w:r>
        <w:br w:type="page"/>
      </w:r>
    </w:p>
    <w:p w:rsidR="004A37C7" w:rsidRDefault="00772529" w:rsidP="002B118C">
      <w:pPr>
        <w:pStyle w:val="Heading1"/>
        <w:numPr>
          <w:ilvl w:val="0"/>
          <w:numId w:val="0"/>
        </w:numPr>
        <w:ind w:left="360" w:hanging="360"/>
      </w:pPr>
      <w:bookmarkStart w:id="33" w:name="_Toc442204974"/>
      <w:r>
        <w:lastRenderedPageBreak/>
        <w:t>Component</w:t>
      </w:r>
      <w:r w:rsidR="00BA3A7F">
        <w:t xml:space="preserve"> </w:t>
      </w:r>
      <w:r>
        <w:t>III</w:t>
      </w:r>
      <w:r w:rsidR="00BA3A7F">
        <w:t>:</w:t>
      </w:r>
      <w:r w:rsidR="00577998">
        <w:t xml:space="preserve"> </w:t>
      </w:r>
      <w:r w:rsidR="004A37C7">
        <w:t xml:space="preserve">Allocation of </w:t>
      </w:r>
      <w:r w:rsidR="00286E4C">
        <w:t>annual samples for district-level priorities</w:t>
      </w:r>
      <w:bookmarkEnd w:id="33"/>
    </w:p>
    <w:p w:rsidR="00836271" w:rsidRDefault="002D02CB" w:rsidP="002B118C">
      <w:pPr>
        <w:pStyle w:val="Heading2"/>
      </w:pPr>
      <w:bookmarkStart w:id="34" w:name="_Ref437538832"/>
      <w:bookmarkStart w:id="35" w:name="_Toc442204975"/>
      <w:r>
        <w:t>Summary of</w:t>
      </w:r>
      <w:r w:rsidR="00836271">
        <w:t xml:space="preserve"> </w:t>
      </w:r>
      <w:r w:rsidR="002014EC">
        <w:t>Approach</w:t>
      </w:r>
      <w:bookmarkEnd w:id="34"/>
      <w:bookmarkEnd w:id="35"/>
    </w:p>
    <w:p w:rsidR="0031312F" w:rsidRDefault="00140C2E" w:rsidP="0031312F">
      <w:r>
        <w:t xml:space="preserve">As long as the minimum core sampling for provincial design is </w:t>
      </w:r>
      <w:r w:rsidR="00BD7A63">
        <w:t xml:space="preserve">being </w:t>
      </w:r>
      <w:r>
        <w:t>achieved (</w:t>
      </w:r>
      <w:r w:rsidR="00031CFA">
        <w:t>as described above)</w:t>
      </w:r>
      <w:r>
        <w:t xml:space="preserve">, then </w:t>
      </w:r>
      <w:r w:rsidR="00BD7A63">
        <w:t>any additional</w:t>
      </w:r>
      <w:r>
        <w:t xml:space="preserve"> sampl</w:t>
      </w:r>
      <w:r w:rsidR="00031CFA">
        <w:t>ing effort</w:t>
      </w:r>
      <w:r>
        <w:t xml:space="preserve"> can be directed toward </w:t>
      </w:r>
      <w:r w:rsidR="00031CFA">
        <w:t xml:space="preserve">district-level </w:t>
      </w:r>
      <w:r>
        <w:t>priorities</w:t>
      </w:r>
      <w:r w:rsidR="00BD7A63">
        <w:t>.</w:t>
      </w:r>
      <w:r w:rsidR="00B766CA">
        <w:t xml:space="preserve"> </w:t>
      </w:r>
      <w:r w:rsidR="00C76C96">
        <w:t>Assessing the right approach for addressing a specific priority and d</w:t>
      </w:r>
      <w:r w:rsidR="00B766CA">
        <w:t xml:space="preserve">eveloping an appropriate </w:t>
      </w:r>
      <w:r w:rsidR="00031CFA">
        <w:t xml:space="preserve">sampling plan requires </w:t>
      </w:r>
      <w:r w:rsidR="00D83103">
        <w:t xml:space="preserve">a </w:t>
      </w:r>
      <w:r w:rsidR="00031CFA">
        <w:t>careful</w:t>
      </w:r>
      <w:r w:rsidR="00D83103">
        <w:t>, systematic approach</w:t>
      </w:r>
      <w:r w:rsidR="00031CFA">
        <w:t xml:space="preserve"> and </w:t>
      </w:r>
      <w:r w:rsidR="00A551A0">
        <w:t>use</w:t>
      </w:r>
      <w:r w:rsidR="00031CFA">
        <w:t xml:space="preserve"> of the FREP protocols </w:t>
      </w:r>
      <w:r w:rsidR="0031312F">
        <w:t xml:space="preserve">to ensure that the data collected with these “priority samples” </w:t>
      </w:r>
      <w:r w:rsidR="00A551A0">
        <w:t>will be</w:t>
      </w:r>
      <w:r w:rsidR="0031312F">
        <w:t xml:space="preserve"> informative both to district</w:t>
      </w:r>
      <w:r w:rsidR="00D37687">
        <w:t xml:space="preserve">s and regions </w:t>
      </w:r>
      <w:r w:rsidR="0031312F">
        <w:t>and to the provincial design. This should include con</w:t>
      </w:r>
      <w:r w:rsidR="00D83103">
        <w:t xml:space="preserve">sulting with a statistician to </w:t>
      </w:r>
      <w:r w:rsidR="0031312F">
        <w:t>develop</w:t>
      </w:r>
      <w:r w:rsidR="00D83103">
        <w:t xml:space="preserve"> and/or </w:t>
      </w:r>
      <w:r w:rsidR="0031312F">
        <w:t>review the proposed design.</w:t>
      </w:r>
    </w:p>
    <w:p w:rsidR="00B13227" w:rsidRDefault="00B13227" w:rsidP="002B118C">
      <w:pPr>
        <w:pStyle w:val="Heading2"/>
      </w:pPr>
      <w:bookmarkStart w:id="36" w:name="_Toc442204976"/>
      <w:r>
        <w:t>Rationale</w:t>
      </w:r>
      <w:bookmarkEnd w:id="36"/>
    </w:p>
    <w:p w:rsidR="00B13227" w:rsidRDefault="00031CFA" w:rsidP="00BD7A63">
      <w:r>
        <w:t xml:space="preserve">The primary focus of the FREP program is to </w:t>
      </w:r>
      <w:r w:rsidR="00DF247A">
        <w:t>implement</w:t>
      </w:r>
      <w:r>
        <w:t xml:space="preserve"> the </w:t>
      </w:r>
      <w:r w:rsidR="00DF247A">
        <w:t>core</w:t>
      </w:r>
      <w:r>
        <w:t xml:space="preserve"> design across all districts.</w:t>
      </w:r>
      <w:r w:rsidR="00BD7A63">
        <w:t xml:space="preserve"> H</w:t>
      </w:r>
      <w:r>
        <w:t xml:space="preserve">owever, </w:t>
      </w:r>
      <w:r w:rsidR="00BD7A63">
        <w:t xml:space="preserve">a </w:t>
      </w:r>
      <w:r w:rsidR="00C76C96">
        <w:t>dominant</w:t>
      </w:r>
      <w:r w:rsidR="00BD7A63">
        <w:t xml:space="preserve"> theme </w:t>
      </w:r>
      <w:r w:rsidR="00C76C96">
        <w:t>that emerged in the</w:t>
      </w:r>
      <w:r w:rsidR="00BD7A63">
        <w:t xml:space="preserve"> feedback collected through the survey and workshop was the interest of districts</w:t>
      </w:r>
      <w:r w:rsidR="00B13227">
        <w:t xml:space="preserve"> </w:t>
      </w:r>
      <w:r w:rsidR="00C76C96">
        <w:t>to direct sampling effort toward local priorities</w:t>
      </w:r>
      <w:r w:rsidR="00BD7A63">
        <w:t>. As discussed elsewhere, our conclusion has been that it would not be appropriate to modify the overall sampling design to address these district-specific priorities because they vary</w:t>
      </w:r>
      <w:r w:rsidR="00DF247A">
        <w:t xml:space="preserve"> substantially </w:t>
      </w:r>
      <w:r w:rsidR="00BD7A63">
        <w:t xml:space="preserve">among districts, </w:t>
      </w:r>
      <w:r w:rsidR="00C76C96">
        <w:t xml:space="preserve">they </w:t>
      </w:r>
      <w:r w:rsidR="00BD7A63">
        <w:t xml:space="preserve">may change over time, and any specialization of the sampling design (e.g., </w:t>
      </w:r>
      <w:r w:rsidR="00DF247A">
        <w:t xml:space="preserve">pre-stratification, </w:t>
      </w:r>
      <w:r w:rsidR="00BD7A63">
        <w:t>subsampling, preferential selection</w:t>
      </w:r>
      <w:r w:rsidR="00C76C96">
        <w:t>, etc.</w:t>
      </w:r>
      <w:r w:rsidR="00BD7A63">
        <w:t xml:space="preserve">) would be at the expense of the </w:t>
      </w:r>
      <w:r w:rsidR="00DF247A">
        <w:t xml:space="preserve">flexibility of the </w:t>
      </w:r>
      <w:r w:rsidR="00BD7A63">
        <w:t xml:space="preserve">overall </w:t>
      </w:r>
      <w:r w:rsidR="00C76C96">
        <w:t xml:space="preserve">provincial </w:t>
      </w:r>
      <w:r w:rsidR="00BD7A63">
        <w:t xml:space="preserve">design. </w:t>
      </w:r>
      <w:r w:rsidR="00DF247A">
        <w:t>However, in order to accommodate this interest</w:t>
      </w:r>
      <w:r w:rsidR="00BD7A63">
        <w:t>, the proposed approach allows districts to have some flexibility in addressing local priorities as long as the minimum sampling requirements for the core design are achieved.</w:t>
      </w:r>
    </w:p>
    <w:p w:rsidR="00BD7A63" w:rsidRDefault="00941AE9" w:rsidP="00BD7A63">
      <w:r>
        <w:t>A central caveat to this approach is that it assumes that the resources available will support a level of sampling that is greater than that which will be required to maintain the minimums</w:t>
      </w:r>
      <w:r w:rsidR="00A454E3">
        <w:t xml:space="preserve">. Once the minimums are </w:t>
      </w:r>
      <w:r>
        <w:t>achieved</w:t>
      </w:r>
      <w:r w:rsidR="00A454E3">
        <w:t>, t</w:t>
      </w:r>
      <w:r>
        <w:t>he difference</w:t>
      </w:r>
      <w:r w:rsidR="00A454E3">
        <w:t xml:space="preserve"> between the total number of annual samples and the number needed to maintain the core design</w:t>
      </w:r>
      <w:r>
        <w:t xml:space="preserve"> provides the opportunity for “surplus” samples available to be used for local priorities.</w:t>
      </w:r>
      <w:r w:rsidR="000E40CB">
        <w:t xml:space="preserve"> However, even if there is no surplus FREP funding, it is to the district</w:t>
      </w:r>
      <w:r w:rsidR="00637D94">
        <w:t>s</w:t>
      </w:r>
      <w:r w:rsidR="000E40CB">
        <w:t xml:space="preserve">’ advantage to </w:t>
      </w:r>
      <w:r w:rsidR="009E494D">
        <w:t xml:space="preserve">follow these basic sampling principles and where possible to collect data that is compatible with the FREP design to provide greater context for district level findings. </w:t>
      </w:r>
    </w:p>
    <w:p w:rsidR="00A006A9" w:rsidRDefault="00D82A5C" w:rsidP="0031312F">
      <w:pPr>
        <w:pStyle w:val="Heading2"/>
      </w:pPr>
      <w:bookmarkStart w:id="37" w:name="_Toc442204977"/>
      <w:r>
        <w:t xml:space="preserve">General Guidance on </w:t>
      </w:r>
      <w:r w:rsidR="00A006A9">
        <w:t>Implementation of Priority Sampling</w:t>
      </w:r>
      <w:bookmarkEnd w:id="37"/>
    </w:p>
    <w:p w:rsidR="004449F5" w:rsidRDefault="005362AB" w:rsidP="003E659A">
      <w:r>
        <w:t xml:space="preserve">When determining </w:t>
      </w:r>
      <w:r w:rsidR="003E659A">
        <w:t>if and how</w:t>
      </w:r>
      <w:r>
        <w:t xml:space="preserve"> to allocate </w:t>
      </w:r>
      <w:r w:rsidR="003E659A">
        <w:t xml:space="preserve">priority samples </w:t>
      </w:r>
      <w:r>
        <w:t xml:space="preserve">to </w:t>
      </w:r>
      <w:r w:rsidR="003E659A">
        <w:t>address d</w:t>
      </w:r>
      <w:r>
        <w:t xml:space="preserve">istrict-specific questions, </w:t>
      </w:r>
      <w:r w:rsidR="00B766CA">
        <w:t>district</w:t>
      </w:r>
      <w:r>
        <w:t xml:space="preserve">s </w:t>
      </w:r>
      <w:r w:rsidR="003E659A">
        <w:t xml:space="preserve">should </w:t>
      </w:r>
      <w:r w:rsidR="00A454E3">
        <w:t>consider</w:t>
      </w:r>
      <w:r w:rsidR="003E659A">
        <w:t xml:space="preserve"> the following steps. These steps prov</w:t>
      </w:r>
      <w:r w:rsidR="00D23F32">
        <w:t xml:space="preserve">ide a generic process to </w:t>
      </w:r>
      <w:r w:rsidR="00665F1B">
        <w:t>follow</w:t>
      </w:r>
      <w:r w:rsidR="003E659A">
        <w:t xml:space="preserve">, rather than a </w:t>
      </w:r>
      <w:r w:rsidR="00665F1B">
        <w:t xml:space="preserve">detailed </w:t>
      </w:r>
      <w:r w:rsidR="003E659A">
        <w:t xml:space="preserve">guidebook or </w:t>
      </w:r>
      <w:r w:rsidR="00665F1B">
        <w:t xml:space="preserve">prescriptive </w:t>
      </w:r>
      <w:r w:rsidR="003E659A">
        <w:t>template</w:t>
      </w:r>
      <w:r w:rsidR="008052D5">
        <w:t>, which is beyond the current scope</w:t>
      </w:r>
      <w:r w:rsidR="003E659A">
        <w:t>.</w:t>
      </w:r>
      <w:r w:rsidR="00DF247A">
        <w:t xml:space="preserve"> </w:t>
      </w:r>
      <w:r w:rsidR="00D23F32">
        <w:t xml:space="preserve">Each question in each district will vary in important ways that can fundamentally influence the optimal sampling design (e.g., scale of the question, temporal dynamics, required precision, sample and population sizes, how the data will be applied to management decisions, etc.). However, the following provides a summary of core concepts for good sampling design. When addressing district-specific priorities, districts </w:t>
      </w:r>
      <w:r w:rsidR="006A3157">
        <w:t>should both</w:t>
      </w:r>
      <w:r w:rsidR="00D23F32">
        <w:t xml:space="preserve"> consider</w:t>
      </w:r>
      <w:r w:rsidR="006A3157">
        <w:t xml:space="preserve"> these issues and consult with an expert in sampling design.</w:t>
      </w:r>
    </w:p>
    <w:p w:rsidR="005362AB" w:rsidRPr="0075336C" w:rsidRDefault="00B24E67" w:rsidP="00E76880">
      <w:pPr>
        <w:pStyle w:val="AltList"/>
        <w:spacing w:after="0"/>
        <w:rPr>
          <w:u w:val="single"/>
        </w:rPr>
      </w:pPr>
      <w:r w:rsidRPr="00B01F0B">
        <w:rPr>
          <w:b/>
          <w:u w:val="single"/>
        </w:rPr>
        <w:t>QUESTION</w:t>
      </w:r>
      <w:r w:rsidR="00A006A9" w:rsidRPr="0075336C">
        <w:rPr>
          <w:b/>
          <w:u w:val="single"/>
        </w:rPr>
        <w:t xml:space="preserve">: </w:t>
      </w:r>
      <w:r w:rsidR="005362AB" w:rsidRPr="0075336C">
        <w:rPr>
          <w:u w:val="single"/>
        </w:rPr>
        <w:t>What is the question of interest?</w:t>
      </w:r>
    </w:p>
    <w:p w:rsidR="005362AB" w:rsidRPr="0075336C" w:rsidRDefault="005362AB" w:rsidP="00EC2B95">
      <w:pPr>
        <w:pStyle w:val="AltList"/>
        <w:numPr>
          <w:ilvl w:val="1"/>
          <w:numId w:val="16"/>
        </w:numPr>
        <w:spacing w:after="0"/>
      </w:pPr>
      <w:r w:rsidRPr="0075336C">
        <w:t>It is critical that t</w:t>
      </w:r>
      <w:r w:rsidR="00611E22" w:rsidRPr="0075336C">
        <w:t>he question is clearly defined</w:t>
      </w:r>
    </w:p>
    <w:p w:rsidR="00611E22" w:rsidRPr="0075336C" w:rsidRDefault="00611E22" w:rsidP="00EC2B95">
      <w:pPr>
        <w:pStyle w:val="AltList"/>
        <w:numPr>
          <w:ilvl w:val="2"/>
          <w:numId w:val="18"/>
        </w:numPr>
        <w:spacing w:after="0"/>
      </w:pPr>
      <w:r w:rsidRPr="0075336C">
        <w:t xml:space="preserve">What </w:t>
      </w:r>
      <w:r w:rsidR="00A454E3">
        <w:t xml:space="preserve">are the </w:t>
      </w:r>
      <w:r w:rsidRPr="0075336C">
        <w:t xml:space="preserve">outcome(s) or performance measure(s) </w:t>
      </w:r>
      <w:r w:rsidR="00A454E3">
        <w:t>of</w:t>
      </w:r>
      <w:r w:rsidRPr="0075336C">
        <w:t xml:space="preserve"> interest?</w:t>
      </w:r>
    </w:p>
    <w:p w:rsidR="00611E22" w:rsidRPr="0075336C" w:rsidRDefault="00611E22" w:rsidP="00EC2B95">
      <w:pPr>
        <w:pStyle w:val="AltList"/>
        <w:numPr>
          <w:ilvl w:val="2"/>
          <w:numId w:val="18"/>
        </w:numPr>
        <w:spacing w:after="0"/>
      </w:pPr>
      <w:r w:rsidRPr="0075336C">
        <w:lastRenderedPageBreak/>
        <w:t>Under what conditions and/or in what types of sites?</w:t>
      </w:r>
    </w:p>
    <w:p w:rsidR="00007510" w:rsidRPr="0075336C" w:rsidRDefault="00007510" w:rsidP="00EC2B95">
      <w:pPr>
        <w:pStyle w:val="AltList"/>
        <w:numPr>
          <w:ilvl w:val="1"/>
          <w:numId w:val="16"/>
        </w:numPr>
        <w:spacing w:after="0"/>
      </w:pPr>
      <w:r w:rsidRPr="0075336C">
        <w:t>What level of precision</w:t>
      </w:r>
      <w:r w:rsidR="00611E22" w:rsidRPr="0075336C">
        <w:t>/power</w:t>
      </w:r>
      <w:r w:rsidRPr="0075336C">
        <w:t xml:space="preserve"> is acceptable?</w:t>
      </w:r>
      <w:r w:rsidR="00611E22" w:rsidRPr="0075336C">
        <w:t xml:space="preserve"> (i.e., </w:t>
      </w:r>
      <w:r w:rsidR="00C475C5" w:rsidRPr="0075336C">
        <w:t>provides the level of confidence necessary for the information to be useful)</w:t>
      </w:r>
    </w:p>
    <w:p w:rsidR="0029695F" w:rsidRPr="0075336C" w:rsidRDefault="0029695F" w:rsidP="00EC2B95">
      <w:pPr>
        <w:pStyle w:val="AltList"/>
        <w:numPr>
          <w:ilvl w:val="1"/>
          <w:numId w:val="16"/>
        </w:numPr>
        <w:spacing w:after="0"/>
      </w:pPr>
      <w:r w:rsidRPr="0075336C">
        <w:t>What time period is acceptable?</w:t>
      </w:r>
    </w:p>
    <w:p w:rsidR="0029695F" w:rsidRPr="0075336C" w:rsidRDefault="00611E22" w:rsidP="00EC2B95">
      <w:pPr>
        <w:pStyle w:val="AltList"/>
        <w:numPr>
          <w:ilvl w:val="1"/>
          <w:numId w:val="16"/>
        </w:numPr>
        <w:spacing w:after="0"/>
      </w:pPr>
      <w:r w:rsidRPr="0075336C">
        <w:t xml:space="preserve">Consider the </w:t>
      </w:r>
      <w:r w:rsidR="0029695F" w:rsidRPr="0075336C">
        <w:t xml:space="preserve">tradeoffs </w:t>
      </w:r>
      <w:r w:rsidRPr="0075336C">
        <w:t xml:space="preserve">among precision/power, </w:t>
      </w:r>
      <w:r w:rsidR="0029695F" w:rsidRPr="0075336C">
        <w:t xml:space="preserve">time, </w:t>
      </w:r>
      <w:r w:rsidRPr="0075336C">
        <w:t xml:space="preserve">and </w:t>
      </w:r>
      <w:r w:rsidR="0029695F" w:rsidRPr="0075336C">
        <w:t>sample size</w:t>
      </w:r>
      <w:r w:rsidRPr="0075336C">
        <w:t>:</w:t>
      </w:r>
    </w:p>
    <w:p w:rsidR="00611E22" w:rsidRPr="0075336C" w:rsidRDefault="00A454E3" w:rsidP="00EC2B95">
      <w:pPr>
        <w:pStyle w:val="AltList"/>
        <w:numPr>
          <w:ilvl w:val="2"/>
          <w:numId w:val="18"/>
        </w:numPr>
        <w:spacing w:after="0"/>
      </w:pPr>
      <w:r>
        <w:t>e</w:t>
      </w:r>
      <w:r w:rsidR="00611E22" w:rsidRPr="0075336C">
        <w:t>.g., If precision/power needs to be higher, then you need a larger sample size, which requires either more samples per year or more years</w:t>
      </w:r>
    </w:p>
    <w:p w:rsidR="00611E22" w:rsidRDefault="00A454E3" w:rsidP="00EC2B95">
      <w:pPr>
        <w:pStyle w:val="AltList"/>
        <w:numPr>
          <w:ilvl w:val="2"/>
          <w:numId w:val="18"/>
        </w:numPr>
        <w:spacing w:after="0"/>
      </w:pPr>
      <w:r>
        <w:t>e</w:t>
      </w:r>
      <w:r w:rsidR="00611E22" w:rsidRPr="0075336C">
        <w:t>.g., If samples per year cannot be increased, then there will be a tradeoff between precision/power and the number of years required</w:t>
      </w:r>
    </w:p>
    <w:p w:rsidR="0075336C" w:rsidRPr="0075336C" w:rsidRDefault="0075336C" w:rsidP="0075336C">
      <w:pPr>
        <w:pStyle w:val="AltList"/>
        <w:numPr>
          <w:ilvl w:val="0"/>
          <w:numId w:val="0"/>
        </w:numPr>
        <w:spacing w:after="0"/>
        <w:ind w:left="360" w:hanging="360"/>
      </w:pPr>
    </w:p>
    <w:p w:rsidR="005362AB" w:rsidRPr="0075336C" w:rsidRDefault="00A006A9" w:rsidP="00E76880">
      <w:pPr>
        <w:pStyle w:val="AltList"/>
        <w:spacing w:after="0"/>
        <w:rPr>
          <w:u w:val="single"/>
        </w:rPr>
      </w:pPr>
      <w:r w:rsidRPr="0075336C">
        <w:rPr>
          <w:b/>
          <w:u w:val="single"/>
        </w:rPr>
        <w:t>EXISTING DATA:</w:t>
      </w:r>
      <w:r w:rsidRPr="0075336C">
        <w:rPr>
          <w:u w:val="single"/>
        </w:rPr>
        <w:t xml:space="preserve"> </w:t>
      </w:r>
      <w:r w:rsidR="0029695F" w:rsidRPr="0075336C">
        <w:rPr>
          <w:u w:val="single"/>
        </w:rPr>
        <w:t>H</w:t>
      </w:r>
      <w:r w:rsidR="005362AB" w:rsidRPr="0075336C">
        <w:rPr>
          <w:u w:val="single"/>
        </w:rPr>
        <w:t>ow much data</w:t>
      </w:r>
      <w:r w:rsidR="0029695F" w:rsidRPr="0075336C">
        <w:rPr>
          <w:u w:val="single"/>
        </w:rPr>
        <w:t xml:space="preserve"> relevant to addressing this question is currently available?</w:t>
      </w:r>
    </w:p>
    <w:p w:rsidR="00007510" w:rsidRPr="00E76880" w:rsidRDefault="00007510" w:rsidP="00EC2B95">
      <w:pPr>
        <w:pStyle w:val="AltList"/>
        <w:numPr>
          <w:ilvl w:val="1"/>
          <w:numId w:val="16"/>
        </w:numPr>
        <w:spacing w:after="0"/>
      </w:pPr>
      <w:r w:rsidRPr="00E76880">
        <w:t>Also consider future data likely to be collected (i.e., anticipated sampling)</w:t>
      </w:r>
    </w:p>
    <w:p w:rsidR="005362AB" w:rsidRPr="00E76880" w:rsidRDefault="005362AB" w:rsidP="00EC2B95">
      <w:pPr>
        <w:pStyle w:val="AltList"/>
        <w:numPr>
          <w:ilvl w:val="1"/>
          <w:numId w:val="16"/>
        </w:numPr>
        <w:spacing w:after="0"/>
      </w:pPr>
      <w:r w:rsidRPr="00E76880">
        <w:t>Is there</w:t>
      </w:r>
      <w:r w:rsidR="00007510" w:rsidRPr="00E76880">
        <w:t xml:space="preserve"> (or will there soon be)</w:t>
      </w:r>
      <w:r w:rsidRPr="00E76880">
        <w:t xml:space="preserve"> sufficient data to address the question without additional sampling (e.g., post-stratification)?</w:t>
      </w:r>
    </w:p>
    <w:p w:rsidR="005362AB" w:rsidRPr="00E76880" w:rsidRDefault="00D82A5C" w:rsidP="00EC2B95">
      <w:pPr>
        <w:pStyle w:val="AltList"/>
        <w:numPr>
          <w:ilvl w:val="1"/>
          <w:numId w:val="16"/>
        </w:numPr>
        <w:spacing w:after="0"/>
      </w:pPr>
      <w:r w:rsidRPr="00E76880">
        <w:t xml:space="preserve">Are </w:t>
      </w:r>
      <w:r w:rsidR="005362AB" w:rsidRPr="00E76880">
        <w:t>there</w:t>
      </w:r>
      <w:r w:rsidR="00007510" w:rsidRPr="00E76880">
        <w:t xml:space="preserve"> </w:t>
      </w:r>
      <w:r w:rsidR="005362AB" w:rsidRPr="00E76880">
        <w:t>sufficient data to inform the development of a sampling plan and/or to help refine the question?</w:t>
      </w:r>
    </w:p>
    <w:p w:rsidR="005362AB" w:rsidRDefault="00A454E3" w:rsidP="00EC2B95">
      <w:pPr>
        <w:pStyle w:val="AltList"/>
        <w:numPr>
          <w:ilvl w:val="2"/>
          <w:numId w:val="18"/>
        </w:numPr>
        <w:spacing w:after="0"/>
      </w:pPr>
      <w:r>
        <w:t>e</w:t>
      </w:r>
      <w:r w:rsidR="005362AB" w:rsidRPr="00E76880">
        <w:t>.g., preliminary estimates of variance</w:t>
      </w:r>
      <w:r w:rsidR="009E494D">
        <w:t>;</w:t>
      </w:r>
      <w:r w:rsidR="009E494D" w:rsidRPr="00E76880">
        <w:t xml:space="preserve"> </w:t>
      </w:r>
      <w:r w:rsidR="005362AB" w:rsidRPr="00E76880">
        <w:t>preliminary conclusions with low precision</w:t>
      </w:r>
      <w:r w:rsidR="009E494D">
        <w:t>;</w:t>
      </w:r>
      <w:r w:rsidR="009E494D" w:rsidRPr="00E76880">
        <w:t xml:space="preserve"> </w:t>
      </w:r>
      <w:r w:rsidR="005362AB" w:rsidRPr="00E76880">
        <w:t>data only</w:t>
      </w:r>
      <w:r w:rsidR="0075336C">
        <w:t xml:space="preserve"> lacking for certain sub-strata</w:t>
      </w:r>
    </w:p>
    <w:p w:rsidR="0075336C" w:rsidRPr="00E76880" w:rsidRDefault="0075336C" w:rsidP="0075336C">
      <w:pPr>
        <w:pStyle w:val="AltList"/>
        <w:numPr>
          <w:ilvl w:val="0"/>
          <w:numId w:val="0"/>
        </w:numPr>
        <w:spacing w:after="0"/>
        <w:ind w:left="360" w:hanging="360"/>
      </w:pPr>
    </w:p>
    <w:p w:rsidR="00B50439" w:rsidRPr="0075336C" w:rsidRDefault="00A006A9" w:rsidP="00E76880">
      <w:pPr>
        <w:pStyle w:val="AltList"/>
        <w:spacing w:after="0"/>
        <w:rPr>
          <w:u w:val="single"/>
        </w:rPr>
      </w:pPr>
      <w:r w:rsidRPr="0075336C">
        <w:rPr>
          <w:b/>
          <w:u w:val="single"/>
        </w:rPr>
        <w:t>SAMPLING DESIGN:</w:t>
      </w:r>
      <w:r w:rsidRPr="0075336C">
        <w:rPr>
          <w:u w:val="single"/>
        </w:rPr>
        <w:t xml:space="preserve"> </w:t>
      </w:r>
      <w:r w:rsidR="00B50439" w:rsidRPr="0075336C">
        <w:rPr>
          <w:u w:val="single"/>
        </w:rPr>
        <w:t>Determine appropriate sampling design</w:t>
      </w:r>
    </w:p>
    <w:p w:rsidR="00B50439" w:rsidRPr="00E76880" w:rsidRDefault="00B50439" w:rsidP="00EC2B95">
      <w:pPr>
        <w:pStyle w:val="AltList"/>
        <w:numPr>
          <w:ilvl w:val="1"/>
          <w:numId w:val="16"/>
        </w:numPr>
        <w:spacing w:after="0"/>
      </w:pPr>
      <w:r w:rsidRPr="00E76880">
        <w:t>Define the question</w:t>
      </w:r>
      <w:r w:rsidR="00C475C5" w:rsidRPr="00E76880">
        <w:t xml:space="preserve"> (as above)</w:t>
      </w:r>
    </w:p>
    <w:p w:rsidR="009E494D" w:rsidRPr="00E76880" w:rsidRDefault="009E494D" w:rsidP="009E494D">
      <w:pPr>
        <w:pStyle w:val="AltList"/>
        <w:numPr>
          <w:ilvl w:val="1"/>
          <w:numId w:val="16"/>
        </w:numPr>
        <w:spacing w:after="0"/>
      </w:pPr>
      <w:r w:rsidRPr="00E76880">
        <w:t>Define the population</w:t>
      </w:r>
      <w:r>
        <w:t xml:space="preserve"> of interest</w:t>
      </w:r>
    </w:p>
    <w:p w:rsidR="00B50439" w:rsidRPr="00E76880" w:rsidDel="009E494D" w:rsidRDefault="00B50439" w:rsidP="00EC2B95">
      <w:pPr>
        <w:pStyle w:val="AltList"/>
        <w:numPr>
          <w:ilvl w:val="1"/>
          <w:numId w:val="16"/>
        </w:numPr>
        <w:spacing w:after="0"/>
      </w:pPr>
      <w:r w:rsidRPr="00E76880" w:rsidDel="009E494D">
        <w:t>Define the strata of interest</w:t>
      </w:r>
      <w:r w:rsidR="0031312F" w:rsidDel="009E494D">
        <w:t xml:space="preserve"> (e.g., rare or special strata; BEC subzone or variant)</w:t>
      </w:r>
    </w:p>
    <w:p w:rsidR="00B50439" w:rsidRPr="00E76880" w:rsidRDefault="00B50439" w:rsidP="00A454E3">
      <w:pPr>
        <w:pStyle w:val="AltList"/>
        <w:numPr>
          <w:ilvl w:val="1"/>
          <w:numId w:val="18"/>
        </w:numPr>
        <w:spacing w:after="0"/>
      </w:pPr>
      <w:r w:rsidRPr="00E76880">
        <w:t>Define the sampling unit</w:t>
      </w:r>
      <w:r w:rsidR="00A454E3">
        <w:t xml:space="preserve"> (</w:t>
      </w:r>
      <w:proofErr w:type="spellStart"/>
      <w:r w:rsidRPr="00E76880">
        <w:t>cutblock</w:t>
      </w:r>
      <w:proofErr w:type="spellEnd"/>
      <w:r w:rsidRPr="00E76880">
        <w:t>, as per FREP sampling design</w:t>
      </w:r>
      <w:r w:rsidR="0075336C">
        <w:rPr>
          <w:rStyle w:val="FootnoteReference"/>
        </w:rPr>
        <w:footnoteReference w:id="12"/>
      </w:r>
      <w:r w:rsidR="00A454E3">
        <w:t>)</w:t>
      </w:r>
    </w:p>
    <w:p w:rsidR="00B50439" w:rsidRPr="00E76880" w:rsidRDefault="003E4D4C" w:rsidP="00EC2B95">
      <w:pPr>
        <w:pStyle w:val="AltList"/>
        <w:numPr>
          <w:ilvl w:val="1"/>
          <w:numId w:val="16"/>
        </w:numPr>
        <w:spacing w:after="0"/>
      </w:pPr>
      <w:r>
        <w:t>Define the sampling</w:t>
      </w:r>
      <w:r w:rsidR="00B50439" w:rsidRPr="00E76880">
        <w:t xml:space="preserve"> frame</w:t>
      </w:r>
      <w:r>
        <w:rPr>
          <w:rStyle w:val="FootnoteReference"/>
        </w:rPr>
        <w:footnoteReference w:id="13"/>
      </w:r>
    </w:p>
    <w:p w:rsidR="00B50439" w:rsidRPr="00E76880" w:rsidRDefault="00C475C5" w:rsidP="00EC2B95">
      <w:pPr>
        <w:pStyle w:val="AltList"/>
        <w:numPr>
          <w:ilvl w:val="2"/>
          <w:numId w:val="18"/>
        </w:numPr>
        <w:spacing w:after="0"/>
      </w:pPr>
      <w:r w:rsidRPr="00E76880">
        <w:t>In general for sampling design – sampling frame m</w:t>
      </w:r>
      <w:r w:rsidR="00B50439" w:rsidRPr="00E76880">
        <w:t>ust be rigorously defined, documented, repeatable, and identify whether it is static or dynamic</w:t>
      </w:r>
    </w:p>
    <w:p w:rsidR="006F56F4" w:rsidRDefault="00491F0E" w:rsidP="00491F0E">
      <w:pPr>
        <w:pStyle w:val="AltList"/>
        <w:numPr>
          <w:ilvl w:val="3"/>
          <w:numId w:val="19"/>
        </w:numPr>
        <w:spacing w:after="0"/>
      </w:pPr>
      <w:r>
        <w:t>For FREP funded projects</w:t>
      </w:r>
      <w:r w:rsidR="00B50439" w:rsidRPr="00E76880">
        <w:t xml:space="preserve"> – it </w:t>
      </w:r>
      <w:r w:rsidR="003E4D4C">
        <w:t xml:space="preserve">should </w:t>
      </w:r>
      <w:r w:rsidR="00B50439" w:rsidRPr="00E76880">
        <w:t>be a subset of the existing sample frame</w:t>
      </w:r>
      <w:r w:rsidR="003E4D4C">
        <w:rPr>
          <w:rStyle w:val="FootnoteReference"/>
        </w:rPr>
        <w:footnoteReference w:id="14"/>
      </w:r>
    </w:p>
    <w:p w:rsidR="00B50439" w:rsidRPr="00E76880" w:rsidRDefault="00B50439" w:rsidP="006F56F4">
      <w:pPr>
        <w:pStyle w:val="AltList"/>
        <w:numPr>
          <w:ilvl w:val="4"/>
          <w:numId w:val="19"/>
        </w:numPr>
        <w:spacing w:after="0"/>
      </w:pPr>
      <w:r w:rsidRPr="00E76880">
        <w:t xml:space="preserve">Temporal definition – same as existing sample frame (i.e., ≤3 </w:t>
      </w:r>
      <w:proofErr w:type="spellStart"/>
      <w:r w:rsidRPr="00E76880">
        <w:t>yrs</w:t>
      </w:r>
      <w:proofErr w:type="spellEnd"/>
      <w:r w:rsidRPr="00E76880">
        <w:t xml:space="preserve"> since harvest)</w:t>
      </w:r>
    </w:p>
    <w:p w:rsidR="00B50439" w:rsidRPr="00E76880" w:rsidRDefault="00B50439" w:rsidP="006F56F4">
      <w:pPr>
        <w:pStyle w:val="AltList"/>
        <w:numPr>
          <w:ilvl w:val="4"/>
          <w:numId w:val="19"/>
        </w:numPr>
        <w:spacing w:after="0"/>
      </w:pPr>
      <w:r w:rsidRPr="00E76880">
        <w:t>Spatial definition – may be limited to strata of interest</w:t>
      </w:r>
    </w:p>
    <w:p w:rsidR="00B50439" w:rsidRPr="00E76880" w:rsidRDefault="00C94915" w:rsidP="00EC2B95">
      <w:pPr>
        <w:pStyle w:val="AltList"/>
        <w:numPr>
          <w:ilvl w:val="1"/>
          <w:numId w:val="16"/>
        </w:numPr>
        <w:spacing w:after="0"/>
      </w:pPr>
      <w:r>
        <w:t>S</w:t>
      </w:r>
      <w:r w:rsidR="00B50439" w:rsidRPr="00E76880">
        <w:t>election method</w:t>
      </w:r>
    </w:p>
    <w:p w:rsidR="00A12F79" w:rsidRDefault="00637D94" w:rsidP="00637D94">
      <w:pPr>
        <w:pStyle w:val="AltList"/>
        <w:numPr>
          <w:ilvl w:val="2"/>
          <w:numId w:val="18"/>
        </w:numPr>
        <w:spacing w:after="0"/>
      </w:pPr>
      <w:r>
        <w:t>Probability</w:t>
      </w:r>
      <w:r w:rsidR="00A12F79">
        <w:t xml:space="preserve"> sampling</w:t>
      </w:r>
      <w:r w:rsidR="00B50439" w:rsidRPr="00E76880">
        <w:t xml:space="preserve"> </w:t>
      </w:r>
      <w:r w:rsidR="00B24E67">
        <w:t xml:space="preserve">should </w:t>
      </w:r>
      <w:r w:rsidR="00A12F79">
        <w:t xml:space="preserve">always </w:t>
      </w:r>
      <w:r w:rsidR="00B24E67">
        <w:t xml:space="preserve">be used </w:t>
      </w:r>
      <w:r w:rsidR="009D13B3">
        <w:t>–</w:t>
      </w:r>
      <w:r w:rsidR="00A12F79">
        <w:t xml:space="preserve"> e</w:t>
      </w:r>
      <w:r w:rsidR="00B50439" w:rsidRPr="00E76880">
        <w:t xml:space="preserve">very sampling unit in the sample frame must have a </w:t>
      </w:r>
      <w:r w:rsidR="00A12F79">
        <w:t>known probability</w:t>
      </w:r>
      <w:r w:rsidR="00A12F79" w:rsidRPr="00E76880">
        <w:t xml:space="preserve"> </w:t>
      </w:r>
      <w:r w:rsidR="00B50439" w:rsidRPr="00E76880">
        <w:t>of being selected</w:t>
      </w:r>
      <w:r w:rsidR="007D6FE0">
        <w:t xml:space="preserve"> (i.e., inclusion probability)</w:t>
      </w:r>
      <w:r w:rsidR="00A12F79">
        <w:t xml:space="preserve">. </w:t>
      </w:r>
    </w:p>
    <w:p w:rsidR="007D6FE0" w:rsidRDefault="007D6FE0" w:rsidP="009D13B3">
      <w:pPr>
        <w:pStyle w:val="AltList"/>
        <w:numPr>
          <w:ilvl w:val="2"/>
          <w:numId w:val="18"/>
        </w:numPr>
        <w:spacing w:after="0"/>
      </w:pPr>
      <w:r>
        <w:t>If the inclusion probability is known, then it is possible to weight the samples appropriately and ensure valid inference is possible</w:t>
      </w:r>
      <w:r w:rsidR="0072406C">
        <w:t xml:space="preserve">. With a simple random sample (the original FREP design) all </w:t>
      </w:r>
      <w:proofErr w:type="spellStart"/>
      <w:r w:rsidR="0072406C">
        <w:t>cutblocks</w:t>
      </w:r>
      <w:proofErr w:type="spellEnd"/>
      <w:r w:rsidR="0072406C">
        <w:t xml:space="preserve"> </w:t>
      </w:r>
      <w:r w:rsidR="009D13B3">
        <w:t xml:space="preserve">within each district </w:t>
      </w:r>
      <w:r w:rsidR="0072406C">
        <w:t xml:space="preserve">have the same inclusion probability and are weighted equally. When specific categories </w:t>
      </w:r>
      <w:r w:rsidR="00C94915">
        <w:t xml:space="preserve">(i.e., strata) </w:t>
      </w:r>
      <w:r w:rsidR="0072406C">
        <w:t>or sites are targeted</w:t>
      </w:r>
      <w:r w:rsidR="009D13B3">
        <w:t>,</w:t>
      </w:r>
      <w:r w:rsidR="0072406C">
        <w:t xml:space="preserve"> the inclusion probabilities and weights are no longer equal</w:t>
      </w:r>
      <w:r>
        <w:t>, for example:</w:t>
      </w:r>
    </w:p>
    <w:p w:rsidR="007D6FE0" w:rsidRDefault="009D13B3" w:rsidP="009D13B3">
      <w:pPr>
        <w:pStyle w:val="AltList"/>
        <w:numPr>
          <w:ilvl w:val="3"/>
          <w:numId w:val="19"/>
        </w:numPr>
        <w:spacing w:after="0"/>
      </w:pPr>
      <w:r>
        <w:t>A</w:t>
      </w:r>
      <w:r w:rsidR="007D6FE0">
        <w:t xml:space="preserve"> district wishes to use all of their surplus sites on a specific BEC zone, this data can still be used for the provincial records, but will be weighted differently </w:t>
      </w:r>
      <w:r w:rsidR="0072406C">
        <w:t xml:space="preserve">(less weight) </w:t>
      </w:r>
      <w:r w:rsidR="007D6FE0">
        <w:t xml:space="preserve">from </w:t>
      </w:r>
      <w:proofErr w:type="spellStart"/>
      <w:r w:rsidR="007D6FE0">
        <w:t>cutblocks</w:t>
      </w:r>
      <w:proofErr w:type="spellEnd"/>
      <w:r w:rsidR="007D6FE0">
        <w:t xml:space="preserve"> </w:t>
      </w:r>
      <w:r w:rsidR="0072406C">
        <w:t xml:space="preserve">of the same BEC zone </w:t>
      </w:r>
      <w:r w:rsidR="007D6FE0">
        <w:t>selected randomly</w:t>
      </w:r>
      <w:r w:rsidR="0072406C">
        <w:t xml:space="preserve"> (greater weight)</w:t>
      </w:r>
      <w:r w:rsidR="007D6FE0">
        <w:t>.</w:t>
      </w:r>
    </w:p>
    <w:p w:rsidR="0072406C" w:rsidRDefault="009D13B3" w:rsidP="009D13B3">
      <w:pPr>
        <w:pStyle w:val="AltList"/>
        <w:numPr>
          <w:ilvl w:val="3"/>
          <w:numId w:val="19"/>
        </w:numPr>
        <w:spacing w:after="0"/>
      </w:pPr>
      <w:r>
        <w:lastRenderedPageBreak/>
        <w:t xml:space="preserve">If </w:t>
      </w:r>
      <w:r w:rsidR="007D6FE0">
        <w:t xml:space="preserve">a district knows of a particular </w:t>
      </w:r>
      <w:proofErr w:type="spellStart"/>
      <w:r w:rsidR="007D6FE0">
        <w:t>cutblock</w:t>
      </w:r>
      <w:proofErr w:type="spellEnd"/>
      <w:r w:rsidR="007D6FE0">
        <w:t xml:space="preserve"> which is of concern to them</w:t>
      </w:r>
      <w:r w:rsidR="0072406C">
        <w:t xml:space="preserve">, they may sample this </w:t>
      </w:r>
      <w:proofErr w:type="spellStart"/>
      <w:r w:rsidR="0072406C">
        <w:t>cutblock</w:t>
      </w:r>
      <w:proofErr w:type="spellEnd"/>
      <w:r w:rsidR="0072406C">
        <w:t xml:space="preserve">, but the inclusion probability will be 1 for this </w:t>
      </w:r>
      <w:proofErr w:type="spellStart"/>
      <w:r w:rsidR="0072406C">
        <w:t>cutblock</w:t>
      </w:r>
      <w:proofErr w:type="spellEnd"/>
      <w:r w:rsidR="0072406C">
        <w:t xml:space="preserve"> and zero for all others, therefore the data from the ‘special’ </w:t>
      </w:r>
      <w:proofErr w:type="spellStart"/>
      <w:r w:rsidR="0072406C">
        <w:t>cutblock</w:t>
      </w:r>
      <w:proofErr w:type="spellEnd"/>
      <w:r w:rsidR="0072406C">
        <w:t xml:space="preserve"> can only be used to describe that </w:t>
      </w:r>
      <w:proofErr w:type="spellStart"/>
      <w:r w:rsidR="0072406C">
        <w:t>cutblock</w:t>
      </w:r>
      <w:proofErr w:type="spellEnd"/>
      <w:r w:rsidR="0072406C">
        <w:t xml:space="preserve">, no inference can be made to other </w:t>
      </w:r>
      <w:proofErr w:type="spellStart"/>
      <w:r w:rsidR="0072406C">
        <w:t>cutblocks</w:t>
      </w:r>
      <w:proofErr w:type="spellEnd"/>
      <w:r w:rsidR="0072406C">
        <w:t>.</w:t>
      </w:r>
    </w:p>
    <w:p w:rsidR="0072406C" w:rsidRDefault="0072406C" w:rsidP="009D13B3">
      <w:pPr>
        <w:pStyle w:val="AltList"/>
        <w:numPr>
          <w:ilvl w:val="2"/>
          <w:numId w:val="18"/>
        </w:numPr>
        <w:spacing w:after="0"/>
      </w:pPr>
      <w:r>
        <w:t xml:space="preserve">In general, the greater the inclusion probability, the smaller the population they can be used to inform and the less valuable the samples will be to the Provincial FREP questions </w:t>
      </w:r>
      <w:r w:rsidR="009D13B3">
        <w:t>(i.e., sample weight is inversely proportional to inclusion probability).</w:t>
      </w:r>
    </w:p>
    <w:p w:rsidR="00B50439" w:rsidRPr="00E76880" w:rsidRDefault="00B50439" w:rsidP="00EC2B95">
      <w:pPr>
        <w:pStyle w:val="AltList"/>
        <w:numPr>
          <w:ilvl w:val="1"/>
          <w:numId w:val="16"/>
        </w:numPr>
        <w:spacing w:after="0"/>
      </w:pPr>
      <w:r w:rsidRPr="00E76880">
        <w:t>Sample size</w:t>
      </w:r>
    </w:p>
    <w:p w:rsidR="00C475C5" w:rsidRDefault="00C475C5" w:rsidP="00EC2B95">
      <w:pPr>
        <w:pStyle w:val="AltList"/>
        <w:numPr>
          <w:ilvl w:val="2"/>
          <w:numId w:val="18"/>
        </w:numPr>
        <w:spacing w:after="0"/>
      </w:pPr>
      <w:r w:rsidRPr="00E76880">
        <w:t>Will be dependent on how much sampling effort is available beyond obligations to the core FREP sampling</w:t>
      </w:r>
    </w:p>
    <w:p w:rsidR="009D6663" w:rsidRPr="00E76880" w:rsidRDefault="009D6663" w:rsidP="0025191A">
      <w:pPr>
        <w:pStyle w:val="AltList"/>
        <w:numPr>
          <w:ilvl w:val="1"/>
          <w:numId w:val="18"/>
        </w:numPr>
        <w:spacing w:after="0"/>
      </w:pPr>
      <w:r>
        <w:t>Define how the resultant data will be stored</w:t>
      </w:r>
    </w:p>
    <w:p w:rsidR="00C475C5" w:rsidRDefault="00C475C5" w:rsidP="00EC2B95">
      <w:pPr>
        <w:pStyle w:val="AltList"/>
        <w:numPr>
          <w:ilvl w:val="1"/>
          <w:numId w:val="16"/>
        </w:numPr>
        <w:spacing w:after="0"/>
      </w:pPr>
      <w:r w:rsidRPr="00E76880">
        <w:t>Define how the resultant data will be analyzed to answer the initial question</w:t>
      </w:r>
    </w:p>
    <w:p w:rsidR="00491F0E" w:rsidRDefault="00491F0E" w:rsidP="005E03C5">
      <w:pPr>
        <w:pStyle w:val="AltList"/>
        <w:numPr>
          <w:ilvl w:val="0"/>
          <w:numId w:val="0"/>
        </w:numPr>
        <w:spacing w:after="0"/>
        <w:ind w:left="360" w:hanging="360"/>
      </w:pPr>
    </w:p>
    <w:p w:rsidR="00491F0E" w:rsidRDefault="00491F0E" w:rsidP="005E03C5">
      <w:pPr>
        <w:pStyle w:val="AltList"/>
        <w:numPr>
          <w:ilvl w:val="0"/>
          <w:numId w:val="0"/>
        </w:numPr>
        <w:spacing w:after="0"/>
        <w:ind w:left="360"/>
      </w:pPr>
      <w:r>
        <w:t xml:space="preserve">NOTE: </w:t>
      </w:r>
      <w:r w:rsidR="00C94915">
        <w:t xml:space="preserve">The greater the consistency (e.g., sample unit, sample frame, and protocol) between </w:t>
      </w:r>
      <w:r>
        <w:t xml:space="preserve">other programs </w:t>
      </w:r>
      <w:r w:rsidR="00C94915">
        <w:t xml:space="preserve">(e.g., Fisheries Sensitive Watersheds) </w:t>
      </w:r>
      <w:r w:rsidR="005E03C5">
        <w:t xml:space="preserve">and the FREP sampling design, </w:t>
      </w:r>
      <w:r w:rsidR="00C94915">
        <w:t>the greater the ability to share data and personnel</w:t>
      </w:r>
      <w:r w:rsidR="002D3AE6">
        <w:t>,</w:t>
      </w:r>
      <w:r w:rsidR="00C94915">
        <w:t xml:space="preserve"> and therefore the greater the mutual benefit.</w:t>
      </w:r>
    </w:p>
    <w:p w:rsidR="0075336C" w:rsidRPr="00E76880" w:rsidRDefault="0075336C" w:rsidP="0075336C">
      <w:pPr>
        <w:pStyle w:val="AltList"/>
        <w:numPr>
          <w:ilvl w:val="0"/>
          <w:numId w:val="0"/>
        </w:numPr>
        <w:spacing w:after="0"/>
        <w:ind w:left="360" w:hanging="360"/>
      </w:pPr>
    </w:p>
    <w:p w:rsidR="00007510" w:rsidRPr="0075336C" w:rsidRDefault="00A006A9" w:rsidP="00E76880">
      <w:pPr>
        <w:pStyle w:val="AltList"/>
        <w:spacing w:after="0"/>
        <w:rPr>
          <w:u w:val="single"/>
        </w:rPr>
      </w:pPr>
      <w:r w:rsidRPr="0075336C">
        <w:rPr>
          <w:b/>
          <w:u w:val="single"/>
        </w:rPr>
        <w:t>EVALUATE BENEFIT:</w:t>
      </w:r>
      <w:r w:rsidRPr="0075336C">
        <w:rPr>
          <w:u w:val="single"/>
        </w:rPr>
        <w:t xml:space="preserve"> </w:t>
      </w:r>
      <w:r w:rsidR="00007510" w:rsidRPr="0075336C">
        <w:rPr>
          <w:u w:val="single"/>
        </w:rPr>
        <w:t xml:space="preserve">Will it be </w:t>
      </w:r>
      <w:r w:rsidRPr="0075336C">
        <w:rPr>
          <w:u w:val="single"/>
        </w:rPr>
        <w:t>possible to adequately answer the question?</w:t>
      </w:r>
    </w:p>
    <w:p w:rsidR="00007510" w:rsidRPr="00E76880" w:rsidRDefault="00007510" w:rsidP="00EC2B95">
      <w:pPr>
        <w:pStyle w:val="AltList"/>
        <w:numPr>
          <w:ilvl w:val="1"/>
          <w:numId w:val="16"/>
        </w:numPr>
        <w:spacing w:after="0"/>
      </w:pPr>
      <w:r w:rsidRPr="00E76880">
        <w:t xml:space="preserve">Will the </w:t>
      </w:r>
      <w:r w:rsidR="00C475C5" w:rsidRPr="00E76880">
        <w:t xml:space="preserve">sampling </w:t>
      </w:r>
      <w:r w:rsidRPr="00E76880">
        <w:t xml:space="preserve">design </w:t>
      </w:r>
      <w:r w:rsidR="00A006A9" w:rsidRPr="00E76880">
        <w:t>for utilizing the prospectively available “priority samples”</w:t>
      </w:r>
      <w:r w:rsidR="009D6663">
        <w:t xml:space="preserve"> </w:t>
      </w:r>
      <w:r w:rsidRPr="00E76880">
        <w:t>provide a</w:t>
      </w:r>
      <w:r w:rsidR="0029695F" w:rsidRPr="00E76880">
        <w:t>n acceptable</w:t>
      </w:r>
      <w:r w:rsidRPr="00E76880">
        <w:t xml:space="preserve"> level of precision or power</w:t>
      </w:r>
      <w:r w:rsidR="0029695F" w:rsidRPr="00E76880">
        <w:t>?</w:t>
      </w:r>
    </w:p>
    <w:p w:rsidR="00C475C5" w:rsidRPr="00E76880" w:rsidRDefault="00C475C5" w:rsidP="00EC2B95">
      <w:pPr>
        <w:pStyle w:val="AltList"/>
        <w:numPr>
          <w:ilvl w:val="2"/>
          <w:numId w:val="18"/>
        </w:numPr>
        <w:spacing w:after="0"/>
      </w:pPr>
      <w:r w:rsidRPr="00E76880">
        <w:t>If not, can the question or design be modified</w:t>
      </w:r>
      <w:r w:rsidR="00A006A9" w:rsidRPr="00E76880">
        <w:t xml:space="preserve"> to increase </w:t>
      </w:r>
      <w:r w:rsidR="00A454E3" w:rsidRPr="00E76880">
        <w:t>precision</w:t>
      </w:r>
      <w:r w:rsidR="00A454E3">
        <w:t>/</w:t>
      </w:r>
      <w:r w:rsidR="00A006A9" w:rsidRPr="00E76880">
        <w:t xml:space="preserve">power (e.g., </w:t>
      </w:r>
      <w:r w:rsidRPr="00E76880">
        <w:t>adding</w:t>
      </w:r>
      <w:r w:rsidR="00A006A9" w:rsidRPr="00E76880">
        <w:t xml:space="preserve"> more samples, </w:t>
      </w:r>
      <w:r w:rsidRPr="00E76880">
        <w:t>per year or over more years)</w:t>
      </w:r>
      <w:r w:rsidR="00A006A9" w:rsidRPr="00E76880">
        <w:t>?</w:t>
      </w:r>
    </w:p>
    <w:p w:rsidR="00C475C5" w:rsidRPr="00E76880" w:rsidRDefault="00A006A9" w:rsidP="00EC2B95">
      <w:pPr>
        <w:pStyle w:val="AltList"/>
        <w:numPr>
          <w:ilvl w:val="2"/>
          <w:numId w:val="18"/>
        </w:numPr>
        <w:spacing w:after="0"/>
      </w:pPr>
      <w:r w:rsidRPr="00E76880">
        <w:t xml:space="preserve">Or, is the lower </w:t>
      </w:r>
      <w:r w:rsidR="00A454E3" w:rsidRPr="00E76880">
        <w:t>precision</w:t>
      </w:r>
      <w:r w:rsidR="00A454E3">
        <w:t>/</w:t>
      </w:r>
      <w:r w:rsidRPr="00E76880">
        <w:t>power acceptable (e.g., still provides useful information)?</w:t>
      </w:r>
    </w:p>
    <w:p w:rsidR="005362AB" w:rsidRDefault="005362AB" w:rsidP="00EC2B95">
      <w:pPr>
        <w:pStyle w:val="AltList"/>
        <w:numPr>
          <w:ilvl w:val="1"/>
          <w:numId w:val="16"/>
        </w:numPr>
        <w:spacing w:after="0"/>
      </w:pPr>
      <w:r w:rsidRPr="00E76880">
        <w:t xml:space="preserve">If sampling will be insufficient to </w:t>
      </w:r>
      <w:r w:rsidR="0029695F" w:rsidRPr="00E76880">
        <w:t>answer the question with an acceptable level of precision</w:t>
      </w:r>
      <w:r w:rsidRPr="00E76880">
        <w:t>, consider other approach</w:t>
      </w:r>
      <w:r w:rsidR="00C475C5" w:rsidRPr="00E76880">
        <w:t>es for addressing the question</w:t>
      </w:r>
      <w:r w:rsidRPr="00E76880">
        <w:t xml:space="preserve"> (</w:t>
      </w:r>
      <w:r w:rsidR="00A454E3">
        <w:t xml:space="preserve">e.g., do </w:t>
      </w:r>
      <w:r w:rsidRPr="00E76880">
        <w:t>no</w:t>
      </w:r>
      <w:r w:rsidR="00A454E3">
        <w:t>t</w:t>
      </w:r>
      <w:r w:rsidRPr="00E76880">
        <w:t xml:space="preserve"> wast</w:t>
      </w:r>
      <w:r w:rsidR="00A454E3">
        <w:t>e</w:t>
      </w:r>
      <w:r w:rsidRPr="00E76880">
        <w:t xml:space="preserve"> sampling effort</w:t>
      </w:r>
      <w:r w:rsidR="00C475C5" w:rsidRPr="00E76880">
        <w:t xml:space="preserve"> </w:t>
      </w:r>
      <w:r w:rsidR="00A454E3">
        <w:t>on</w:t>
      </w:r>
      <w:r w:rsidR="00C475C5" w:rsidRPr="00E76880">
        <w:t xml:space="preserve"> </w:t>
      </w:r>
      <w:r w:rsidR="00A454E3">
        <w:t>collecting</w:t>
      </w:r>
      <w:r w:rsidR="00C475C5" w:rsidRPr="00E76880">
        <w:t xml:space="preserve"> inadequate information</w:t>
      </w:r>
      <w:r w:rsidRPr="00E76880">
        <w:t>)</w:t>
      </w:r>
    </w:p>
    <w:p w:rsidR="0075336C" w:rsidRPr="00E76880" w:rsidRDefault="0075336C" w:rsidP="0075336C">
      <w:pPr>
        <w:pStyle w:val="AltList"/>
        <w:numPr>
          <w:ilvl w:val="0"/>
          <w:numId w:val="0"/>
        </w:numPr>
        <w:spacing w:after="0"/>
        <w:ind w:left="360" w:hanging="360"/>
      </w:pPr>
    </w:p>
    <w:p w:rsidR="005362AB" w:rsidRPr="0075336C" w:rsidRDefault="00A006A9" w:rsidP="00E76880">
      <w:pPr>
        <w:pStyle w:val="AltList"/>
        <w:spacing w:after="0"/>
        <w:rPr>
          <w:u w:val="single"/>
        </w:rPr>
      </w:pPr>
      <w:r w:rsidRPr="0075336C">
        <w:rPr>
          <w:b/>
          <w:u w:val="single"/>
        </w:rPr>
        <w:t>EVALUATE COMMITTMENT:</w:t>
      </w:r>
      <w:r w:rsidRPr="0075336C">
        <w:rPr>
          <w:u w:val="single"/>
        </w:rPr>
        <w:t xml:space="preserve"> </w:t>
      </w:r>
      <w:r w:rsidR="0029695F" w:rsidRPr="0075336C">
        <w:rPr>
          <w:u w:val="single"/>
        </w:rPr>
        <w:t xml:space="preserve">Is the </w:t>
      </w:r>
      <w:r w:rsidR="00B766CA" w:rsidRPr="0075336C">
        <w:rPr>
          <w:u w:val="single"/>
        </w:rPr>
        <w:t>district</w:t>
      </w:r>
      <w:r w:rsidR="0029695F" w:rsidRPr="0075336C">
        <w:rPr>
          <w:u w:val="single"/>
        </w:rPr>
        <w:t xml:space="preserve"> committed to addressing this question and to collecting the necessary data over the required number of years?</w:t>
      </w:r>
      <w:r w:rsidR="005362AB" w:rsidRPr="0075336C">
        <w:rPr>
          <w:u w:val="single"/>
        </w:rPr>
        <w:t xml:space="preserve"> </w:t>
      </w:r>
    </w:p>
    <w:p w:rsidR="0029695F" w:rsidRPr="00E76880" w:rsidRDefault="0029695F" w:rsidP="00EC2B95">
      <w:pPr>
        <w:pStyle w:val="AltList"/>
        <w:numPr>
          <w:ilvl w:val="1"/>
          <w:numId w:val="16"/>
        </w:numPr>
        <w:spacing w:after="0"/>
      </w:pPr>
      <w:r w:rsidRPr="00E76880">
        <w:t>Will the districts priorities change over a shorter period than that required to collect sufficient data to address this question?</w:t>
      </w:r>
    </w:p>
    <w:p w:rsidR="005362AB" w:rsidRPr="00E76880" w:rsidRDefault="005362AB" w:rsidP="00EC2B95">
      <w:pPr>
        <w:pStyle w:val="AltList"/>
        <w:numPr>
          <w:ilvl w:val="1"/>
          <w:numId w:val="16"/>
        </w:numPr>
        <w:spacing w:after="0"/>
      </w:pPr>
      <w:r w:rsidRPr="00E76880">
        <w:t>Must have commitment to direct surplus samples to this question for X years (i.e., however long is necessary to get the desired info)</w:t>
      </w:r>
    </w:p>
    <w:p w:rsidR="005362AB" w:rsidRDefault="005362AB" w:rsidP="00EC2B95">
      <w:pPr>
        <w:pStyle w:val="AltList"/>
        <w:numPr>
          <w:ilvl w:val="1"/>
          <w:numId w:val="16"/>
        </w:numPr>
        <w:spacing w:after="0"/>
      </w:pPr>
      <w:r w:rsidRPr="00E76880">
        <w:t xml:space="preserve">Must not be </w:t>
      </w:r>
      <w:r w:rsidR="00A454E3">
        <w:t xml:space="preserve">a </w:t>
      </w:r>
      <w:r w:rsidRPr="00E76880">
        <w:t>short-lived priority (i.e., ad hoc priorities that change every year or two</w:t>
      </w:r>
      <w:r w:rsidR="0029695F" w:rsidRPr="00E76880">
        <w:t>)</w:t>
      </w:r>
    </w:p>
    <w:p w:rsidR="0075336C" w:rsidRPr="00E76880" w:rsidRDefault="0075336C" w:rsidP="0075336C">
      <w:pPr>
        <w:pStyle w:val="AltList"/>
        <w:numPr>
          <w:ilvl w:val="0"/>
          <w:numId w:val="0"/>
        </w:numPr>
        <w:spacing w:after="0"/>
        <w:ind w:left="360" w:hanging="360"/>
      </w:pPr>
    </w:p>
    <w:p w:rsidR="00A006A9" w:rsidRPr="0075336C" w:rsidRDefault="00A006A9" w:rsidP="00E76880">
      <w:pPr>
        <w:pStyle w:val="AltList"/>
        <w:spacing w:after="0"/>
        <w:rPr>
          <w:u w:val="single"/>
        </w:rPr>
      </w:pPr>
      <w:r w:rsidRPr="0075336C">
        <w:rPr>
          <w:b/>
          <w:u w:val="single"/>
        </w:rPr>
        <w:t>DATA COLLECTION:</w:t>
      </w:r>
      <w:r w:rsidRPr="0075336C">
        <w:rPr>
          <w:u w:val="single"/>
        </w:rPr>
        <w:t xml:space="preserve"> Plan and implement data collection</w:t>
      </w:r>
    </w:p>
    <w:p w:rsidR="00B50439" w:rsidRPr="00E76880" w:rsidRDefault="00A006A9" w:rsidP="00EC2B95">
      <w:pPr>
        <w:pStyle w:val="AltList"/>
        <w:numPr>
          <w:ilvl w:val="1"/>
          <w:numId w:val="16"/>
        </w:numPr>
        <w:spacing w:after="0"/>
      </w:pPr>
      <w:r w:rsidRPr="00E76880">
        <w:t>Only i</w:t>
      </w:r>
      <w:r w:rsidR="00B50439" w:rsidRPr="00E76880">
        <w:t xml:space="preserve">f </w:t>
      </w:r>
      <w:r w:rsidR="006A3157" w:rsidRPr="00E76880">
        <w:t>“</w:t>
      </w:r>
      <w:r w:rsidR="00B50439" w:rsidRPr="00E76880">
        <w:t>yes</w:t>
      </w:r>
      <w:r w:rsidR="006A3157" w:rsidRPr="00E76880">
        <w:t>”</w:t>
      </w:r>
      <w:r w:rsidR="00B50439" w:rsidRPr="00E76880">
        <w:t xml:space="preserve"> </w:t>
      </w:r>
      <w:r w:rsidRPr="00E76880">
        <w:t xml:space="preserve">to both decisions in </w:t>
      </w:r>
      <w:r w:rsidR="00B50439" w:rsidRPr="00E76880">
        <w:t xml:space="preserve">#4 and </w:t>
      </w:r>
      <w:r w:rsidRPr="00E76880">
        <w:t>#5</w:t>
      </w:r>
    </w:p>
    <w:p w:rsidR="00B50439" w:rsidRDefault="00B50439" w:rsidP="00EC2B95">
      <w:pPr>
        <w:pStyle w:val="AltList"/>
        <w:numPr>
          <w:ilvl w:val="1"/>
          <w:numId w:val="17"/>
        </w:numPr>
        <w:spacing w:after="0"/>
      </w:pPr>
      <w:r w:rsidRPr="00E76880">
        <w:t xml:space="preserve">Must use existing FREP protocols to ensure </w:t>
      </w:r>
      <w:r w:rsidR="00A006A9" w:rsidRPr="00E76880">
        <w:t>compatibility</w:t>
      </w:r>
    </w:p>
    <w:p w:rsidR="003A704D" w:rsidRDefault="003A704D" w:rsidP="003A704D">
      <w:pPr>
        <w:pStyle w:val="AltList"/>
        <w:numPr>
          <w:ilvl w:val="0"/>
          <w:numId w:val="0"/>
        </w:numPr>
        <w:spacing w:after="0"/>
        <w:ind w:left="360" w:hanging="360"/>
      </w:pPr>
    </w:p>
    <w:p w:rsidR="00647587" w:rsidRDefault="00FF64ED" w:rsidP="0031312F">
      <w:pPr>
        <w:pStyle w:val="Heading3"/>
      </w:pPr>
      <w:bookmarkStart w:id="38" w:name="_Toc442204978"/>
      <w:r>
        <w:t xml:space="preserve">Obtaining </w:t>
      </w:r>
      <w:r w:rsidR="0031312F">
        <w:t>context</w:t>
      </w:r>
      <w:r>
        <w:t xml:space="preserve">-specific </w:t>
      </w:r>
      <w:r w:rsidR="0031312F">
        <w:t>statistical advice</w:t>
      </w:r>
      <w:bookmarkEnd w:id="38"/>
    </w:p>
    <w:p w:rsidR="00912F4F" w:rsidRDefault="00647587">
      <w:r>
        <w:t xml:space="preserve">Establishing a sampling design with limited annual samples that will effectively contribute both to addressing district-level priorities and the provincial FREP design is complex. The above sections provide some high-level guidance on some of the most relevant considerations but specific approaches will depend on the nature and context of the questions being asked. It will be important to consult with a statistician </w:t>
      </w:r>
      <w:r w:rsidR="00C94915">
        <w:t>and formal texts (</w:t>
      </w:r>
      <w:r w:rsidR="00B430B6">
        <w:t xml:space="preserve">e.g., </w:t>
      </w:r>
      <w:r w:rsidR="00C94915">
        <w:t>Cochran 1977</w:t>
      </w:r>
      <w:r w:rsidR="00B430B6">
        <w:t xml:space="preserve">; </w:t>
      </w:r>
      <w:proofErr w:type="spellStart"/>
      <w:r w:rsidR="00C94915">
        <w:t>Lohr</w:t>
      </w:r>
      <w:proofErr w:type="spellEnd"/>
      <w:r w:rsidR="00C94915">
        <w:t xml:space="preserve"> 1999; Thompson 2002) </w:t>
      </w:r>
      <w:r>
        <w:t xml:space="preserve">to confirm that the design </w:t>
      </w:r>
      <w:r>
        <w:lastRenderedPageBreak/>
        <w:t>is appropriate for the specific goals of the district</w:t>
      </w:r>
      <w:r w:rsidR="00231A3D">
        <w:t xml:space="preserve"> and can still contribute information to the provincial design</w:t>
      </w:r>
      <w:r>
        <w:t>.</w:t>
      </w:r>
    </w:p>
    <w:p w:rsidR="00912F4F" w:rsidRPr="00A17653" w:rsidRDefault="00912F4F" w:rsidP="00912F4F">
      <w:pPr>
        <w:pStyle w:val="Heading3"/>
      </w:pPr>
      <w:r>
        <w:t xml:space="preserve">Integrating data from </w:t>
      </w:r>
      <w:r w:rsidR="006341FB">
        <w:t>priority</w:t>
      </w:r>
      <w:r>
        <w:t xml:space="preserve"> sampling with provincial FREP data</w:t>
      </w:r>
    </w:p>
    <w:p w:rsidR="005E03C5" w:rsidRDefault="00912F4F">
      <w:r>
        <w:t xml:space="preserve">Following the above principles and guidance will lead to the highest </w:t>
      </w:r>
      <w:r w:rsidR="00EA4F8F">
        <w:t>likelihood</w:t>
      </w:r>
      <w:r>
        <w:t xml:space="preserve"> that the data collected </w:t>
      </w:r>
      <w:r w:rsidR="006341FB">
        <w:t xml:space="preserve">from district-specific priority sampling </w:t>
      </w:r>
      <w:r>
        <w:t>can be integrated with the data from the core FREP sampling program</w:t>
      </w:r>
      <w:r w:rsidR="006341FB">
        <w:t xml:space="preserve">, </w:t>
      </w:r>
      <w:r>
        <w:t>and th</w:t>
      </w:r>
      <w:r w:rsidR="006341FB">
        <w:t>us</w:t>
      </w:r>
      <w:r>
        <w:t xml:space="preserve"> </w:t>
      </w:r>
      <w:r w:rsidR="00EA4F8F">
        <w:t xml:space="preserve">be used to </w:t>
      </w:r>
      <w:r>
        <w:t xml:space="preserve">contribute to district, regional and provincial estimates. </w:t>
      </w:r>
      <w:r w:rsidR="006341FB">
        <w:t xml:space="preserve">The specific statistical calculations necessary to integrate these data into the larger data set will depend on the specific characteristics of the sampling design </w:t>
      </w:r>
      <w:r w:rsidR="00EA4F8F">
        <w:t>under which the priority samples are collected</w:t>
      </w:r>
      <w:r w:rsidR="006341FB">
        <w:t xml:space="preserve">. </w:t>
      </w:r>
      <w:r w:rsidR="00EA4F8F">
        <w:t>The computation necessary to integrate these data is not “</w:t>
      </w:r>
      <w:r w:rsidR="006341FB">
        <w:t>one size fits all</w:t>
      </w:r>
      <w:r w:rsidR="00EA4F8F">
        <w:t xml:space="preserve">” because the sampling designs potentially used for the priority sampling will not be </w:t>
      </w:r>
      <w:r w:rsidR="005E03C5">
        <w:t>“</w:t>
      </w:r>
      <w:r w:rsidR="00EA4F8F">
        <w:t>one size fits all</w:t>
      </w:r>
      <w:r w:rsidR="005E03C5">
        <w:t>”</w:t>
      </w:r>
      <w:r w:rsidR="00EA4F8F">
        <w:t>.</w:t>
      </w:r>
      <w:r w:rsidR="006341FB">
        <w:t xml:space="preserve"> However, as long as the guidance on sampling design outlined above is followed and thoroughly documented</w:t>
      </w:r>
      <w:r w:rsidR="00C94915">
        <w:t xml:space="preserve"> (i.e., the inclusion probabilities are known)</w:t>
      </w:r>
      <w:proofErr w:type="gramStart"/>
      <w:r w:rsidR="006341FB">
        <w:t>,</w:t>
      </w:r>
      <w:proofErr w:type="gramEnd"/>
      <w:r w:rsidR="006341FB">
        <w:t xml:space="preserve"> it should be possible use the priority sampling data with the data from the core design.</w:t>
      </w:r>
      <w:r w:rsidR="00EA4F8F">
        <w:t xml:space="preserve"> Again, as with the approaches to be developed for addressing individual priority questions, the details are statistically complex and will require consultation with a statistician to ensure the data are used correctly and to avoid common pitfalls (e.g., treating the priority samples the same as the randomly selected samples across the district collected under the core design</w:t>
      </w:r>
      <w:r w:rsidR="00C94915">
        <w:t xml:space="preserve">, a form of </w:t>
      </w:r>
      <w:proofErr w:type="spellStart"/>
      <w:r w:rsidR="00C94915">
        <w:t>pseudoreplication</w:t>
      </w:r>
      <w:proofErr w:type="spellEnd"/>
      <w:r w:rsidR="00C94915">
        <w:t xml:space="preserve"> (</w:t>
      </w:r>
      <w:proofErr w:type="spellStart"/>
      <w:r w:rsidR="00C94915">
        <w:t>Hurlb</w:t>
      </w:r>
      <w:r w:rsidR="00414661">
        <w:t>e</w:t>
      </w:r>
      <w:r w:rsidR="00C94915">
        <w:t>rt</w:t>
      </w:r>
      <w:proofErr w:type="spellEnd"/>
      <w:r w:rsidR="00C94915">
        <w:t xml:space="preserve"> 198</w:t>
      </w:r>
      <w:r w:rsidR="00414661">
        <w:t>4</w:t>
      </w:r>
      <w:r w:rsidR="00EA4F8F">
        <w:t>)</w:t>
      </w:r>
      <w:r w:rsidR="005E03C5">
        <w:t>)</w:t>
      </w:r>
      <w:r w:rsidR="00EA4F8F">
        <w:t>.</w:t>
      </w:r>
    </w:p>
    <w:p w:rsidR="002D3AE6" w:rsidRDefault="002D3AE6"/>
    <w:p w:rsidR="00486C19" w:rsidRDefault="00486C19">
      <w:r>
        <w:br w:type="page"/>
      </w:r>
    </w:p>
    <w:p w:rsidR="003E1001" w:rsidRPr="00B61D22" w:rsidRDefault="003E1001" w:rsidP="002B118C">
      <w:pPr>
        <w:pStyle w:val="Heading1"/>
      </w:pPr>
      <w:bookmarkStart w:id="39" w:name="_Ref442204586"/>
      <w:bookmarkStart w:id="40" w:name="_Toc442204979"/>
      <w:r>
        <w:lastRenderedPageBreak/>
        <w:t>OTHER DESIGN OPTIONS CONSIDERED</w:t>
      </w:r>
      <w:bookmarkEnd w:id="39"/>
      <w:bookmarkEnd w:id="40"/>
    </w:p>
    <w:p w:rsidR="00DF5C59" w:rsidRDefault="003E659A" w:rsidP="00FE1389">
      <w:r>
        <w:t xml:space="preserve">The March 2015 report identified several options to be considered for potential modifications, based on input </w:t>
      </w:r>
      <w:r w:rsidR="003C3E57">
        <w:t xml:space="preserve">from users through the survey and workshop. </w:t>
      </w:r>
      <w:r w:rsidR="00E72F42">
        <w:t xml:space="preserve">Those options have not been recommended as changes to sampling design. The previous report described the basic premise of each of the options, the rationale for considering each, and some of the tradeoffs. </w:t>
      </w:r>
      <w:r w:rsidR="00E4558D">
        <w:t>This section does not repeat that context, but focuses on the rationale for our conclusions that these options are not appropriate modifications to make to the sampling design at this time.</w:t>
      </w:r>
    </w:p>
    <w:p w:rsidR="003E1001" w:rsidRPr="002B118C" w:rsidRDefault="004F04A2" w:rsidP="002B118C">
      <w:pPr>
        <w:pStyle w:val="SubHead1"/>
      </w:pPr>
      <w:r w:rsidRPr="002B118C">
        <w:t>Stratification</w:t>
      </w:r>
    </w:p>
    <w:p w:rsidR="003E1001" w:rsidRDefault="00E4558D" w:rsidP="00C43BB8">
      <w:r>
        <w:t xml:space="preserve">Stratification of the sampling design (i.e., beyond stratification by district) could be beneficial if there was a single potential stratification variable of common interest to users and strongly associated with the questions of interest. In that case stratification could </w:t>
      </w:r>
      <w:r w:rsidR="00223E57">
        <w:t xml:space="preserve">potentially </w:t>
      </w:r>
      <w:r>
        <w:t xml:space="preserve">improve the design if the variability between strata was greater than the variability within strata and some strata were being </w:t>
      </w:r>
      <w:proofErr w:type="spellStart"/>
      <w:r>
        <w:t>undersampled</w:t>
      </w:r>
      <w:proofErr w:type="spellEnd"/>
      <w:r>
        <w:t xml:space="preserve"> in the existing design. However, what we </w:t>
      </w:r>
      <w:r w:rsidR="00CD5529">
        <w:t>have learned</w:t>
      </w:r>
      <w:r>
        <w:t xml:space="preserve"> through the survey</w:t>
      </w:r>
      <w:r w:rsidR="00CD5529">
        <w:t xml:space="preserve"> and workshop was that there are too many different questions (and therefore potential stratification variables) of interest to different users. Although users commonly expressed support for stratification as a “solution” to needs not being met, we believe that such an approach would be in conflict with many of the needs of users currently being met by the existing design. Given the breadth of questions, interests and priorities, we do not believe it would be possible for the FREP user community to agree upon</w:t>
      </w:r>
      <w:r w:rsidR="00955FA4">
        <w:t xml:space="preserve"> a single</w:t>
      </w:r>
      <w:r w:rsidR="00223E57">
        <w:t>, additional</w:t>
      </w:r>
      <w:r w:rsidR="00955FA4">
        <w:t xml:space="preserve"> stratifying variable. Furthermore, stratifying by one variable to better address one set of questions would be at the expense of the ability to address other sets of questions, possibly trading off the needs of some users against the needs of others, thus undermining one of the greatest strengths of the existing sampling design – flexibility. Stratifying based on all or many of the variables of interest would make the provincial </w:t>
      </w:r>
      <w:r w:rsidR="00223E57">
        <w:t xml:space="preserve">design </w:t>
      </w:r>
      <w:r w:rsidR="00955FA4">
        <w:t>impossible to work with. There is no such thing as a perfect design that can do everything</w:t>
      </w:r>
      <w:r w:rsidR="00C43BB8">
        <w:t xml:space="preserve"> for everyone, but a simple </w:t>
      </w:r>
      <w:r w:rsidR="003E1001">
        <w:t>design maintains options</w:t>
      </w:r>
      <w:r w:rsidR="00B50439">
        <w:t xml:space="preserve"> to analyze the greatest breadth of question (including new questions that have not yet emerged)</w:t>
      </w:r>
      <w:r w:rsidR="00C43BB8">
        <w:t>.</w:t>
      </w:r>
    </w:p>
    <w:p w:rsidR="00DF5C59" w:rsidRDefault="00413CCA" w:rsidP="00413CCA">
      <w:r>
        <w:t xml:space="preserve">As presented at the workshop (see Wendy </w:t>
      </w:r>
      <w:proofErr w:type="spellStart"/>
      <w:r>
        <w:t>Bergerud’s</w:t>
      </w:r>
      <w:proofErr w:type="spellEnd"/>
      <w:r>
        <w:t xml:space="preserve"> presentation in the appendix of the March 2015 report), the original architects of the FREP sampling design did in fact consider the pros and cons of </w:t>
      </w:r>
      <w:r w:rsidR="00223E57">
        <w:t xml:space="preserve">further </w:t>
      </w:r>
      <w:r>
        <w:t>stratifying the design beyond the main stratum of district. They c</w:t>
      </w:r>
      <w:r w:rsidR="00DF5C59">
        <w:t>onsidered</w:t>
      </w:r>
      <w:r>
        <w:t xml:space="preserve"> a range of potential stratification</w:t>
      </w:r>
      <w:r w:rsidR="00DF5C59">
        <w:t xml:space="preserve"> variables such as BEC</w:t>
      </w:r>
      <w:r>
        <w:t xml:space="preserve"> zone, block size, licensee, and others. However, multiple factors led to the conclusion that further pre-stratification </w:t>
      </w:r>
      <w:proofErr w:type="gramStart"/>
      <w:r>
        <w:t>was</w:t>
      </w:r>
      <w:proofErr w:type="gramEnd"/>
      <w:r>
        <w:t xml:space="preserve"> not desirable: </w:t>
      </w:r>
    </w:p>
    <w:p w:rsidR="00DF5C59" w:rsidRDefault="00DF5C59" w:rsidP="00EC2B95">
      <w:pPr>
        <w:pStyle w:val="ListParagraph"/>
        <w:numPr>
          <w:ilvl w:val="1"/>
          <w:numId w:val="11"/>
        </w:numPr>
      </w:pPr>
      <w:r>
        <w:t>FREP i</w:t>
      </w:r>
      <w:r w:rsidR="00413CCA">
        <w:t>s an effectiveness program, not</w:t>
      </w:r>
      <w:r>
        <w:t xml:space="preserve"> a </w:t>
      </w:r>
      <w:r w:rsidR="00413CCA">
        <w:t xml:space="preserve">compliance and enforcement </w:t>
      </w:r>
      <w:r>
        <w:t>program</w:t>
      </w:r>
      <w:r w:rsidR="00413CCA">
        <w:t>;</w:t>
      </w:r>
    </w:p>
    <w:p w:rsidR="00DF5C59" w:rsidRDefault="00413CCA" w:rsidP="00EC2B95">
      <w:pPr>
        <w:pStyle w:val="ListParagraph"/>
        <w:numPr>
          <w:ilvl w:val="1"/>
          <w:numId w:val="11"/>
        </w:numPr>
      </w:pPr>
      <w:r>
        <w:t>It could not be determined whether</w:t>
      </w:r>
      <w:r w:rsidR="00DF5C59">
        <w:t xml:space="preserve"> any possible pre-stratifying variable would actually be effective at impro</w:t>
      </w:r>
      <w:r>
        <w:t>ving the efficiency of sampling;</w:t>
      </w:r>
    </w:p>
    <w:p w:rsidR="00DF5C59" w:rsidRDefault="00413CCA" w:rsidP="00EC2B95">
      <w:pPr>
        <w:pStyle w:val="ListParagraph"/>
        <w:numPr>
          <w:ilvl w:val="1"/>
          <w:numId w:val="11"/>
        </w:numPr>
      </w:pPr>
      <w:r>
        <w:t>P</w:t>
      </w:r>
      <w:r w:rsidR="00DF5C59">
        <w:t xml:space="preserve">re-stratification, and in particular, inappropriate pre-stratification, would increase analysis challenges, especially with </w:t>
      </w:r>
      <w:r>
        <w:t>any desired post-stratification;</w:t>
      </w:r>
    </w:p>
    <w:p w:rsidR="00DF5C59" w:rsidRDefault="00DF5C59" w:rsidP="00EC2B95">
      <w:pPr>
        <w:pStyle w:val="ListParagraph"/>
        <w:numPr>
          <w:ilvl w:val="1"/>
          <w:numId w:val="11"/>
        </w:numPr>
      </w:pPr>
      <w:r>
        <w:t xml:space="preserve">Data analysis within a </w:t>
      </w:r>
      <w:r w:rsidR="00B766CA">
        <w:t>district</w:t>
      </w:r>
      <w:r>
        <w:t xml:space="preserve"> is simplified by using Simple Random Sampling (SRS)</w:t>
      </w:r>
      <w:r w:rsidR="00413CCA">
        <w:t>;</w:t>
      </w:r>
    </w:p>
    <w:p w:rsidR="00DF5C59" w:rsidRDefault="00413CCA" w:rsidP="00EC2B95">
      <w:pPr>
        <w:pStyle w:val="ListParagraph"/>
        <w:numPr>
          <w:ilvl w:val="1"/>
          <w:numId w:val="11"/>
        </w:numPr>
      </w:pPr>
      <w:r>
        <w:t>Avoiding additional pre-stratification allows m</w:t>
      </w:r>
      <w:r w:rsidR="00DF5C59">
        <w:t xml:space="preserve">ore freedom to choose post-stratifying variables without complicating </w:t>
      </w:r>
      <w:r>
        <w:t xml:space="preserve">the </w:t>
      </w:r>
      <w:r w:rsidR="00DF5C59">
        <w:t>analys</w:t>
      </w:r>
      <w:r>
        <w:t>e</w:t>
      </w:r>
      <w:r w:rsidR="00DF5C59">
        <w:t>s</w:t>
      </w:r>
      <w:r>
        <w:t>; and,</w:t>
      </w:r>
      <w:r w:rsidR="00DF5C59">
        <w:t xml:space="preserve"> </w:t>
      </w:r>
    </w:p>
    <w:p w:rsidR="00DF5C59" w:rsidRDefault="00DF5C59" w:rsidP="00EC2B95">
      <w:pPr>
        <w:pStyle w:val="ListParagraph"/>
        <w:numPr>
          <w:ilvl w:val="1"/>
          <w:numId w:val="11"/>
        </w:numPr>
      </w:pPr>
      <w:proofErr w:type="spellStart"/>
      <w:r>
        <w:lastRenderedPageBreak/>
        <w:t>Cutblock</w:t>
      </w:r>
      <w:proofErr w:type="spellEnd"/>
      <w:r>
        <w:t xml:space="preserve"> area is an available variable for those wishing to do area-weighted estimation.</w:t>
      </w:r>
    </w:p>
    <w:p w:rsidR="00DF5C59" w:rsidRDefault="00A13136" w:rsidP="00A13136">
      <w:r>
        <w:t>For some of the values, there is now sufficient data to address #2. However, because the other reasons still provide sound justification for not adding further stratification to the core design and resonate with user concerns associated with potential changes to the sampling design, we have not further evaluated that possibility. Because there is such a breadth of questions of interest, including new questions that may emerge in the future, and many different stratifying variables of interest to users, it does not make sense to optimize the design for one type of question at the expense of others.</w:t>
      </w:r>
    </w:p>
    <w:p w:rsidR="002B0677" w:rsidRDefault="002B0677" w:rsidP="002B0677">
      <w:r>
        <w:t>However, with a complex sampling program such as FREP with competing goals, and with goals that evolve and change over time, it is difficult to imagine a stratification beyond the spatial one already implemented (with districts as strata) that would result in a variance reduction while preserving proportional allocation of effort across the diversity of habitats within the province.</w:t>
      </w:r>
    </w:p>
    <w:p w:rsidR="003E1001" w:rsidRPr="00D76A8D" w:rsidRDefault="003E1001" w:rsidP="002B118C">
      <w:pPr>
        <w:pStyle w:val="SubHead1"/>
      </w:pPr>
      <w:r w:rsidRPr="00D76A8D">
        <w:t>Risk</w:t>
      </w:r>
    </w:p>
    <w:p w:rsidR="00DF5C59" w:rsidRDefault="00C43BB8" w:rsidP="00C43BB8">
      <w:r>
        <w:t>Many users have interest in being able to stratify the FREP sampling design based on “risk”, as expressed through the workshop, survey and other previous engagement.</w:t>
      </w:r>
    </w:p>
    <w:p w:rsidR="003E659A" w:rsidRDefault="003E659A" w:rsidP="003E659A">
      <w:r>
        <w:t xml:space="preserve">Our conclusion about incorporating risk into the FREP sampling design as a stratifying variable remains the same as </w:t>
      </w:r>
      <w:r w:rsidR="008F19CC">
        <w:t xml:space="preserve">was expressed in the March 2015 report. Although the interest in “stratifying based on risk” is widespread, there is no common definition for “risk”. The Cumulative Effect team continues to work on developing broader, more unifying potential definitions of risk across the entire landscape but the work is not yet advanced enough to incorporate into the FREP program, especially not as a basis for the core sampling design. As recommended in the March 2015 report, the pragmatic approach to incorporating risk as a stratifying variable would be to develop a uniform definition that can apply across all values. By contrast, having a unique definition for risk for each value would add a tremendous level of complexity to the design and subsequent analyses. </w:t>
      </w:r>
    </w:p>
    <w:p w:rsidR="00FC7044" w:rsidRDefault="00FC7044" w:rsidP="00FC7044">
      <w:r>
        <w:t xml:space="preserve">Currently, there are still debates among different ways of defining risk even for different elements within a single value, </w:t>
      </w:r>
      <w:r w:rsidR="00033AA9">
        <w:t>never mind</w:t>
      </w:r>
      <w:r>
        <w:t xml:space="preserve"> approaching agreement on a common definition across all values.</w:t>
      </w:r>
    </w:p>
    <w:p w:rsidR="008F19CC" w:rsidRDefault="008F19CC" w:rsidP="003E659A">
      <w:r>
        <w:t xml:space="preserve">Even if it is possible to develop a uniform definition of risk across all values, other complications remain. For example, </w:t>
      </w:r>
      <w:r w:rsidR="00FC7044">
        <w:t xml:space="preserve">can the </w:t>
      </w:r>
      <w:r>
        <w:t>level of risk for a given part of the landscape change over time</w:t>
      </w:r>
      <w:r w:rsidR="00FC7044">
        <w:t>? If so, the stratification would not be static, and the statistical implications of a temporally dynamic stratification are highly complex. In that case, it would be important to critically assess whether the potential benefits would truly exceed the increased costs.</w:t>
      </w:r>
    </w:p>
    <w:p w:rsidR="00FC7044" w:rsidRDefault="00FC7044" w:rsidP="003E659A">
      <w:r>
        <w:t>We believe that this topic should continue to be considered as the Cumulative Effects team advance</w:t>
      </w:r>
      <w:r w:rsidR="003C3E57">
        <w:t>s</w:t>
      </w:r>
      <w:r>
        <w:t xml:space="preserve"> their work on defining risk, but it is </w:t>
      </w:r>
      <w:r w:rsidR="003C3E57">
        <w:t xml:space="preserve">currently </w:t>
      </w:r>
      <w:r>
        <w:t>premature to consider integrating “risk” as a central dimension of the core FREP design.</w:t>
      </w:r>
    </w:p>
    <w:p w:rsidR="007D1E18" w:rsidRDefault="007D1E18" w:rsidP="007D1E18">
      <w:pPr>
        <w:pStyle w:val="SubHead1"/>
      </w:pPr>
      <w:r w:rsidRPr="00D679B2">
        <w:t>Subsampling</w:t>
      </w:r>
    </w:p>
    <w:p w:rsidR="007F4190" w:rsidRDefault="00D82A5C">
      <w:r>
        <w:t xml:space="preserve">In the March 2015 report, subsampling was identified as a potential design option to further consider, based on input from the survey and workshop. As described in the report, the two primary reasons for </w:t>
      </w:r>
      <w:r>
        <w:lastRenderedPageBreak/>
        <w:t xml:space="preserve">including subsampling as an element of a sampling design are 1) to increase </w:t>
      </w:r>
      <w:r w:rsidR="00911B53">
        <w:t>efficiency</w:t>
      </w:r>
      <w:r>
        <w:t xml:space="preserve">, or 2) to address secondary questions. </w:t>
      </w:r>
      <w:r w:rsidR="007F4190">
        <w:t xml:space="preserve">Subsampling is not recommended because it is likely that there would be limited or non-existent gains in efficiency while reducing the effective sample size for district estimates. Similarly, given the realistic range of sampling effort, using </w:t>
      </w:r>
      <w:r w:rsidR="00FE1389">
        <w:t>subsampling to address secondary questions would likely drastically reduce the effective sample size for district estimates, thus undermining a core component of the design.</w:t>
      </w:r>
    </w:p>
    <w:p w:rsidR="00D82A5C" w:rsidRDefault="00D82A5C" w:rsidP="002B118C">
      <w:pPr>
        <w:pStyle w:val="SubHead2"/>
      </w:pPr>
      <w:r>
        <w:t>Subsampling to increase efficiency</w:t>
      </w:r>
    </w:p>
    <w:p w:rsidR="00D82A5C" w:rsidRDefault="00D82A5C" w:rsidP="00D82A5C">
      <w:r>
        <w:t>In simple terms, statistical efficiency considers the tradeoffs between improving the estimate of a performance measure (e.g., lower estimation error) and the level of effort required to achieve that improvement. In the case of subsampling, the question is whether the additional effort involved in sampling SSU</w:t>
      </w:r>
      <w:r w:rsidR="006C6B0A">
        <w:t>s</w:t>
      </w:r>
      <w:r>
        <w:t xml:space="preserve"> nested within each PSU would result in sufficiently substantial gains (i.e., improving the precision of estimates of performance measures). The level of effort must consider both the time to travel between sampling locations and time required to complete the protocol at one sampling location. </w:t>
      </w:r>
    </w:p>
    <w:p w:rsidR="00D82A5C" w:rsidRDefault="00D82A5C" w:rsidP="00D82A5C">
      <w:r>
        <w:t xml:space="preserve">One aspect that can be important when </w:t>
      </w:r>
      <w:r w:rsidR="00223E57">
        <w:t>developing</w:t>
      </w:r>
      <w:r>
        <w:t xml:space="preserve"> a sampling design can be the time and money to collect the samples. For example, if the cost (effort) of traveling between PSUs was quite high, but once </w:t>
      </w:r>
      <w:r w:rsidR="00223E57">
        <w:t xml:space="preserve">someone was </w:t>
      </w:r>
      <w:r>
        <w:t xml:space="preserve">there the costs of completing the protocol and traveling between SSUs was quite low, then subsampling might increase efficiency – that is, </w:t>
      </w:r>
      <w:r w:rsidR="00223E57">
        <w:t xml:space="preserve">increase the </w:t>
      </w:r>
      <w:r>
        <w:t>precis</w:t>
      </w:r>
      <w:r w:rsidR="00223E57">
        <w:t>ion of the</w:t>
      </w:r>
      <w:r>
        <w:t xml:space="preserve"> estimates of performance measures at each PSU (which improves the estimate for the population) with only low additional effort. However, if the costs of traveling between SSUs and/or the costs of completing the protocol were quite high, then subsampling might not be economical. In this case, the gain in precision of the estimate of each PSU may be achieved only with substantial effort and, given fixed overall resources, at the expense of sampling fewer PSUs. If the ultimate interest is to provide a better estimate with lower estimation error for the population estimate, that additional effort would be better spent sampling more PSUs and increasing the sample size. In particular, when the cost of traveling between PSUs is not high, increasing the number of PSUs has higher gains in estimation efficiency when compared to subsampling fewer </w:t>
      </w:r>
      <w:r w:rsidR="007D1E18">
        <w:t>PSUs</w:t>
      </w:r>
      <w:r>
        <w:rPr>
          <w:rStyle w:val="FootnoteReference"/>
        </w:rPr>
        <w:footnoteReference w:id="15"/>
      </w:r>
      <w:r>
        <w:t xml:space="preserve">. A careful consideration in survey design is the trade-off in the precision of the population estimate, and the distribution of effort required for collecting the data. </w:t>
      </w:r>
    </w:p>
    <w:p w:rsidR="00D82A5C" w:rsidRDefault="00D82A5C" w:rsidP="00D82A5C">
      <w:r>
        <w:t>In the case of FREP, the cost of traveling to different PSUs within the district can be quite high. Therefore, subsampling could be useful if multiple samples could be done per day and the cost of travel between potential SSUs was not high. However, the FREP sampling protocols are substantial and often only one sample, possibly two, can be done per day. Furthermore, field experience from the Fisheries Sensitive Watershed project has shown that the travel cost can be significant even between two relatively nearby sites within a watershed. If each additional sample usually requires a full day to provide sufficient time for travel and sampling, then there is minimal potential for efficiency gains by adopting a subsampling design – that is, there may be improvement in the estimate for the populations, but at significant cost and at the opportunity cost of sampling additional PSUs instead.</w:t>
      </w:r>
    </w:p>
    <w:p w:rsidR="00D82A5C" w:rsidRPr="002B118C" w:rsidRDefault="00D82A5C" w:rsidP="002B118C">
      <w:pPr>
        <w:pStyle w:val="SubHead2"/>
      </w:pPr>
      <w:r w:rsidRPr="002B118C">
        <w:lastRenderedPageBreak/>
        <w:t>Subsampling to address secondary questions</w:t>
      </w:r>
    </w:p>
    <w:p w:rsidR="00D82A5C" w:rsidRDefault="00D82A5C" w:rsidP="00D82A5C">
      <w:r>
        <w:t>A second purpose for subsampling is to address questions at a secondary scale. For example, in FREP the primary scale of inference is the district, whereas a potential secondary scale could be watershed</w:t>
      </w:r>
      <w:r>
        <w:rPr>
          <w:rStyle w:val="FootnoteReference"/>
        </w:rPr>
        <w:footnoteReference w:id="16"/>
      </w:r>
      <w:r>
        <w:t xml:space="preserve">. Given that it is improbable that more than a couple samples would have been randomly selected in a particular watershed as part of the core sampling design, targeted subsampling would be required to collect enough samples to be able to make meaningful inference to the condition of the watershed. In this example, watersheds would be the PSUs and </w:t>
      </w:r>
      <w:proofErr w:type="spellStart"/>
      <w:r>
        <w:t>cutblocks</w:t>
      </w:r>
      <w:proofErr w:type="spellEnd"/>
      <w:r>
        <w:t xml:space="preserve"> within each watershed would be the SSUs.</w:t>
      </w:r>
    </w:p>
    <w:p w:rsidR="00D82A5C" w:rsidRDefault="00D82A5C" w:rsidP="00D82A5C">
      <w:r>
        <w:t>However, for a fixed sampling budget, the more effort directed toward sampling SSUs, the fewer PSUs can be sampled. Thus redirecting limited resources from PSUs to SSUs reduces the sample size for District-level estimates. For example, in the Fisheries Sensitive Watershed program, to adequately characterize watershed function (i.e., sufficient sample sizes to observe some degree of variance stabilization) required approximately 30-40 samples. Therefore, if a District with resources to conduct 30 samples for a particular value focused that effort in a single watershed instead of being distributed across the district, they would be making a substantial trade-off – gaining a good understanding of that single watershed at the expense of having the ability to make any inferences to the whole district (i.e., there would be only 1 PSU for the District). In that extreme case, the primary intent of the program would be entirely undermined. Therefore, our conclusion is that modifying FREP to be a two-stage sampling design to answer questions at both the primary scale (District) and a secondary scale (e.g., watershed) would not be possible given the levels of sampling effort currently conceivable. For example, sampling 30 SSUs within two watersheds plus 30 PSUs is beyond what is realistic. Sacrificing the ability to make inference to the district level in order to answer questions at a secondary scale is not an appropriate trade-off. Addressing questions at specific sub-district scales will need to be addressed within other focused programs (e.g., Fisheries Sensitive Watersheds) or potentially through the allocation of priority samples within the recommended changes to FREP, but not through modifications to the core FREP design.</w:t>
      </w:r>
    </w:p>
    <w:p w:rsidR="00183085" w:rsidRDefault="00183085" w:rsidP="00183085">
      <w:pPr>
        <w:pStyle w:val="SubHead2"/>
      </w:pPr>
      <w:r>
        <w:t>An example of subsampling</w:t>
      </w:r>
    </w:p>
    <w:p w:rsidR="00183085" w:rsidRDefault="00495B9B" w:rsidP="00183085">
      <w:pPr>
        <w:shd w:val="clear" w:color="auto" w:fill="FFFFFF"/>
        <w:rPr>
          <w:rFonts w:ascii="Calibri" w:eastAsia="Times New Roman" w:hAnsi="Calibri" w:cs="Calibri"/>
          <w:color w:val="000000"/>
        </w:rPr>
      </w:pPr>
      <w:r>
        <w:rPr>
          <w:rFonts w:ascii="Calibri" w:eastAsia="Times New Roman" w:hAnsi="Calibri" w:cs="Calibri"/>
          <w:color w:val="000000"/>
        </w:rPr>
        <w:fldChar w:fldCharType="begin"/>
      </w:r>
      <w:r w:rsidR="00183085">
        <w:rPr>
          <w:rFonts w:ascii="Calibri" w:eastAsia="Times New Roman" w:hAnsi="Calibri" w:cs="Calibri"/>
          <w:color w:val="000000"/>
        </w:rPr>
        <w:instrText xml:space="preserve"> REF _Ref440016912 \h </w:instrText>
      </w:r>
      <w:r>
        <w:rPr>
          <w:rFonts w:ascii="Calibri" w:eastAsia="Times New Roman" w:hAnsi="Calibri" w:cs="Calibri"/>
          <w:color w:val="000000"/>
        </w:rPr>
      </w:r>
      <w:r>
        <w:rPr>
          <w:rFonts w:ascii="Calibri" w:eastAsia="Times New Roman" w:hAnsi="Calibri" w:cs="Calibri"/>
          <w:color w:val="000000"/>
        </w:rPr>
        <w:fldChar w:fldCharType="separate"/>
      </w:r>
      <w:r w:rsidR="00183085">
        <w:t xml:space="preserve">Figure </w:t>
      </w:r>
      <w:r w:rsidR="00183085">
        <w:rPr>
          <w:noProof/>
        </w:rPr>
        <w:t>5</w:t>
      </w:r>
      <w:r>
        <w:rPr>
          <w:rFonts w:ascii="Calibri" w:eastAsia="Times New Roman" w:hAnsi="Calibri" w:cs="Calibri"/>
          <w:color w:val="000000"/>
        </w:rPr>
        <w:fldChar w:fldCharType="end"/>
      </w:r>
      <w:r w:rsidR="00183085">
        <w:rPr>
          <w:rFonts w:ascii="Calibri" w:eastAsia="Times New Roman" w:hAnsi="Calibri" w:cs="Calibri"/>
          <w:color w:val="000000"/>
        </w:rPr>
        <w:t xml:space="preserve"> shows an example using the riparian dataset, using Landscape Unit</w:t>
      </w:r>
      <w:r w:rsidR="00183085">
        <w:rPr>
          <w:rStyle w:val="FootnoteReference"/>
          <w:rFonts w:ascii="Calibri" w:eastAsia="Times New Roman" w:hAnsi="Calibri" w:cs="Calibri"/>
          <w:color w:val="000000"/>
        </w:rPr>
        <w:footnoteReference w:id="17"/>
      </w:r>
      <w:r w:rsidR="00183085">
        <w:rPr>
          <w:rFonts w:ascii="Calibri" w:eastAsia="Times New Roman" w:hAnsi="Calibri" w:cs="Calibri"/>
          <w:color w:val="000000"/>
        </w:rPr>
        <w:t xml:space="preserve"> as the PSU and </w:t>
      </w:r>
      <w:proofErr w:type="spellStart"/>
      <w:r w:rsidR="00183085">
        <w:rPr>
          <w:rFonts w:ascii="Calibri" w:eastAsia="Times New Roman" w:hAnsi="Calibri" w:cs="Calibri"/>
          <w:color w:val="000000"/>
        </w:rPr>
        <w:t>cutblock</w:t>
      </w:r>
      <w:proofErr w:type="spellEnd"/>
      <w:r w:rsidR="00183085">
        <w:rPr>
          <w:rFonts w:ascii="Calibri" w:eastAsia="Times New Roman" w:hAnsi="Calibri" w:cs="Calibri"/>
          <w:color w:val="000000"/>
        </w:rPr>
        <w:t xml:space="preserve"> as the SSU. The example explores the size of the standard error of an estimated district mean when the sampling design is set up to first select a simple random sample of Landscape Units (the PSU), and then within each Landscape Unit a subsample of </w:t>
      </w:r>
      <w:proofErr w:type="spellStart"/>
      <w:r w:rsidR="00183085">
        <w:rPr>
          <w:rFonts w:ascii="Calibri" w:eastAsia="Times New Roman" w:hAnsi="Calibri" w:cs="Calibri"/>
          <w:color w:val="000000"/>
        </w:rPr>
        <w:t>cutblocks</w:t>
      </w:r>
      <w:proofErr w:type="spellEnd"/>
      <w:r w:rsidR="00183085">
        <w:rPr>
          <w:rFonts w:ascii="Calibri" w:eastAsia="Times New Roman" w:hAnsi="Calibri" w:cs="Calibri"/>
          <w:color w:val="000000"/>
        </w:rPr>
        <w:t xml:space="preserve"> (the SSU). Under this survey design, the riparian data are collected from non-independent secondary sampling units, and a statistical model is developed that includes terms corresponding to the restriction on the randomization of the </w:t>
      </w:r>
      <w:proofErr w:type="spellStart"/>
      <w:r w:rsidR="00183085">
        <w:rPr>
          <w:rFonts w:ascii="Calibri" w:eastAsia="Times New Roman" w:hAnsi="Calibri" w:cs="Calibri"/>
          <w:color w:val="000000"/>
        </w:rPr>
        <w:t>cutblocks</w:t>
      </w:r>
      <w:proofErr w:type="spellEnd"/>
      <w:r w:rsidR="00183085">
        <w:rPr>
          <w:rFonts w:ascii="Calibri" w:eastAsia="Times New Roman" w:hAnsi="Calibri" w:cs="Calibri"/>
          <w:color w:val="000000"/>
        </w:rPr>
        <w:t xml:space="preserve"> nested within the Landscape Units.</w:t>
      </w:r>
    </w:p>
    <w:p w:rsidR="00183085" w:rsidRDefault="00495B9B" w:rsidP="00183085">
      <w:pPr>
        <w:shd w:val="clear" w:color="auto" w:fill="FFFFFF"/>
        <w:rPr>
          <w:rFonts w:ascii="Calibri" w:eastAsia="Times New Roman" w:hAnsi="Calibri" w:cs="Calibri"/>
          <w:color w:val="000000"/>
        </w:rPr>
      </w:pPr>
      <w:r>
        <w:rPr>
          <w:rFonts w:ascii="Calibri" w:eastAsia="Times New Roman" w:hAnsi="Calibri" w:cs="Calibri"/>
          <w:color w:val="000000"/>
        </w:rPr>
        <w:fldChar w:fldCharType="begin"/>
      </w:r>
      <w:r w:rsidR="00183085">
        <w:rPr>
          <w:rFonts w:ascii="Calibri" w:eastAsia="Times New Roman" w:hAnsi="Calibri" w:cs="Calibri"/>
          <w:color w:val="000000"/>
        </w:rPr>
        <w:instrText xml:space="preserve"> REF _Ref440016912 \h </w:instrText>
      </w:r>
      <w:r>
        <w:rPr>
          <w:rFonts w:ascii="Calibri" w:eastAsia="Times New Roman" w:hAnsi="Calibri" w:cs="Calibri"/>
          <w:color w:val="000000"/>
        </w:rPr>
      </w:r>
      <w:r>
        <w:rPr>
          <w:rFonts w:ascii="Calibri" w:eastAsia="Times New Roman" w:hAnsi="Calibri" w:cs="Calibri"/>
          <w:color w:val="000000"/>
        </w:rPr>
        <w:fldChar w:fldCharType="separate"/>
      </w:r>
      <w:r w:rsidR="00183085">
        <w:t xml:space="preserve">Figure </w:t>
      </w:r>
      <w:r w:rsidR="00183085">
        <w:rPr>
          <w:noProof/>
        </w:rPr>
        <w:t>5</w:t>
      </w:r>
      <w:r>
        <w:rPr>
          <w:rFonts w:ascii="Calibri" w:eastAsia="Times New Roman" w:hAnsi="Calibri" w:cs="Calibri"/>
          <w:color w:val="000000"/>
        </w:rPr>
        <w:fldChar w:fldCharType="end"/>
      </w:r>
      <w:r w:rsidR="00183085">
        <w:rPr>
          <w:rFonts w:ascii="Calibri" w:eastAsia="Times New Roman" w:hAnsi="Calibri" w:cs="Calibri"/>
          <w:color w:val="000000"/>
        </w:rPr>
        <w:t xml:space="preserve"> uses the between landscape unit variance within a district of 5.75 and the within landscape unit (between </w:t>
      </w:r>
      <w:proofErr w:type="spellStart"/>
      <w:r w:rsidR="00183085">
        <w:rPr>
          <w:rFonts w:ascii="Calibri" w:eastAsia="Times New Roman" w:hAnsi="Calibri" w:cs="Calibri"/>
          <w:color w:val="000000"/>
        </w:rPr>
        <w:t>cutblocks</w:t>
      </w:r>
      <w:proofErr w:type="spellEnd"/>
      <w:r w:rsidR="00183085">
        <w:rPr>
          <w:rFonts w:ascii="Calibri" w:eastAsia="Times New Roman" w:hAnsi="Calibri" w:cs="Calibri"/>
          <w:color w:val="000000"/>
        </w:rPr>
        <w:t xml:space="preserve">) variance of 3.75. Under this variance ratio, only minor gains in the precision of the </w:t>
      </w:r>
      <w:r w:rsidR="00183085">
        <w:rPr>
          <w:rFonts w:ascii="Calibri" w:eastAsia="Times New Roman" w:hAnsi="Calibri" w:cs="Calibri"/>
          <w:color w:val="000000"/>
        </w:rPr>
        <w:lastRenderedPageBreak/>
        <w:t xml:space="preserve">estimate are observed. For example, if a simple random sample of 10 landscape units are selected and 1 </w:t>
      </w:r>
      <w:proofErr w:type="spellStart"/>
      <w:r w:rsidR="00183085">
        <w:rPr>
          <w:rFonts w:ascii="Calibri" w:eastAsia="Times New Roman" w:hAnsi="Calibri" w:cs="Calibri"/>
          <w:color w:val="000000"/>
        </w:rPr>
        <w:t>cutblock</w:t>
      </w:r>
      <w:proofErr w:type="spellEnd"/>
      <w:r w:rsidR="00183085">
        <w:rPr>
          <w:rFonts w:ascii="Calibri" w:eastAsia="Times New Roman" w:hAnsi="Calibri" w:cs="Calibri"/>
          <w:color w:val="000000"/>
        </w:rPr>
        <w:t xml:space="preserve"> is selected (which is the current stratified random sample – i</w:t>
      </w:r>
      <w:r w:rsidR="00234730">
        <w:rPr>
          <w:rFonts w:ascii="Calibri" w:eastAsia="Times New Roman" w:hAnsi="Calibri" w:cs="Calibri"/>
          <w:color w:val="000000"/>
        </w:rPr>
        <w:t xml:space="preserve">.e., without subsampling), the </w:t>
      </w:r>
      <w:r w:rsidR="00183085">
        <w:rPr>
          <w:rFonts w:ascii="Calibri" w:eastAsia="Times New Roman" w:hAnsi="Calibri" w:cs="Calibri"/>
          <w:color w:val="000000"/>
        </w:rPr>
        <w:t xml:space="preserve">precision of the estimate is increased only marginally higher by collecting 2 subsamples for each landscape unit, but at the cost of having expended twice the effort in number of plots (i.e., 10 Landscape Units each with 2 SSUs). Therefore, although the district estimate is improved a bit with this subsampling, adding twice (or more) the SSUs does not improve the precision much whereas increasing PSUs results in more substantial improvement, especially at lower sample size. When the PSU variance is substantially higher than the SSU variance (as in this selected example), there is no gain in subsampling (when cost is not considered). </w:t>
      </w:r>
      <w:r w:rsidR="00A8257D">
        <w:rPr>
          <w:rFonts w:ascii="Calibri" w:eastAsia="Times New Roman" w:hAnsi="Calibri" w:cs="Calibri"/>
          <w:color w:val="000000"/>
        </w:rPr>
        <w:t>In</w:t>
      </w:r>
      <w:r w:rsidR="00183085">
        <w:rPr>
          <w:rFonts w:ascii="Calibri" w:eastAsia="Times New Roman" w:hAnsi="Calibri" w:cs="Calibri"/>
          <w:color w:val="000000"/>
        </w:rPr>
        <w:t xml:space="preserve"> some instances, when the cost of sampling another PSU is very expensive, but the cost of sampling SSUs is cheap, (i.e., </w:t>
      </w:r>
      <w:r w:rsidR="002D3AE6">
        <w:rPr>
          <w:rFonts w:ascii="Calibri" w:eastAsia="Times New Roman" w:hAnsi="Calibri" w:cs="Calibri"/>
          <w:color w:val="000000"/>
        </w:rPr>
        <w:t>little travel time between SSUs</w:t>
      </w:r>
      <w:r w:rsidR="00183085">
        <w:rPr>
          <w:rFonts w:ascii="Calibri" w:eastAsia="Times New Roman" w:hAnsi="Calibri" w:cs="Calibri"/>
          <w:color w:val="000000"/>
        </w:rPr>
        <w:t xml:space="preserve">), then this kind of multistage design can be </w:t>
      </w:r>
      <w:r w:rsidR="00A8257D">
        <w:rPr>
          <w:rFonts w:ascii="Calibri" w:eastAsia="Times New Roman" w:hAnsi="Calibri" w:cs="Calibri"/>
          <w:color w:val="000000"/>
        </w:rPr>
        <w:t>useful</w:t>
      </w:r>
      <w:r w:rsidR="00183085">
        <w:rPr>
          <w:rFonts w:ascii="Calibri" w:eastAsia="Times New Roman" w:hAnsi="Calibri" w:cs="Calibri"/>
          <w:color w:val="000000"/>
        </w:rPr>
        <w:t>.</w:t>
      </w:r>
      <w:r w:rsidR="00A8257D">
        <w:rPr>
          <w:rFonts w:ascii="Calibri" w:eastAsia="Times New Roman" w:hAnsi="Calibri" w:cs="Calibri"/>
          <w:color w:val="000000"/>
        </w:rPr>
        <w:t xml:space="preserve"> For the FREP protocols</w:t>
      </w:r>
      <w:r w:rsidR="002D3AE6">
        <w:rPr>
          <w:rFonts w:ascii="Calibri" w:eastAsia="Times New Roman" w:hAnsi="Calibri" w:cs="Calibri"/>
          <w:color w:val="000000"/>
        </w:rPr>
        <w:t>,</w:t>
      </w:r>
      <w:r w:rsidR="00A8257D">
        <w:rPr>
          <w:rFonts w:ascii="Calibri" w:eastAsia="Times New Roman" w:hAnsi="Calibri" w:cs="Calibri"/>
          <w:color w:val="000000"/>
        </w:rPr>
        <w:t xml:space="preserve"> the data and experience suggest that there is no advantage (in terms of efficiency) to sub-sampling, therefore it should only be considered in cases where the scale of the question requires it (e.g., Fisheries Sensitive Watersheds).</w:t>
      </w:r>
    </w:p>
    <w:p w:rsidR="00183085" w:rsidRDefault="00183085" w:rsidP="00183085">
      <w:pPr>
        <w:keepNext/>
        <w:autoSpaceDE w:val="0"/>
        <w:autoSpaceDN w:val="0"/>
        <w:adjustRightInd w:val="0"/>
        <w:spacing w:after="0" w:line="240" w:lineRule="auto"/>
        <w:jc w:val="center"/>
      </w:pPr>
      <w:r>
        <w:rPr>
          <w:noProof/>
        </w:rPr>
        <w:drawing>
          <wp:inline distT="0" distB="0" distL="0" distR="0" wp14:anchorId="5C45D623" wp14:editId="7E34E4F0">
            <wp:extent cx="342900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3429000" cy="2743200"/>
                    </a:xfrm>
                    <a:prstGeom prst="rect">
                      <a:avLst/>
                    </a:prstGeom>
                  </pic:spPr>
                </pic:pic>
              </a:graphicData>
            </a:graphic>
          </wp:inline>
        </w:drawing>
      </w:r>
      <w:r>
        <w:rPr>
          <w:noProof/>
        </w:rPr>
        <w:t xml:space="preserve"> </w:t>
      </w:r>
    </w:p>
    <w:p w:rsidR="00183085" w:rsidRDefault="00183085" w:rsidP="00183085">
      <w:pPr>
        <w:pStyle w:val="Caption"/>
        <w:rPr>
          <w:rFonts w:ascii="CMR10" w:hAnsi="CMR10" w:cs="CMR10"/>
          <w:sz w:val="20"/>
          <w:szCs w:val="20"/>
        </w:rPr>
      </w:pPr>
      <w:bookmarkStart w:id="41" w:name="_Ref440016912"/>
      <w:proofErr w:type="gramStart"/>
      <w:r>
        <w:t xml:space="preserve">Figure </w:t>
      </w:r>
      <w:r w:rsidR="00495B9B">
        <w:fldChar w:fldCharType="begin"/>
      </w:r>
      <w:r>
        <w:instrText xml:space="preserve"> SEQ Figure \* ARABIC </w:instrText>
      </w:r>
      <w:r w:rsidR="00495B9B">
        <w:fldChar w:fldCharType="separate"/>
      </w:r>
      <w:r>
        <w:rPr>
          <w:noProof/>
        </w:rPr>
        <w:t>5</w:t>
      </w:r>
      <w:r w:rsidR="00495B9B">
        <w:rPr>
          <w:noProof/>
        </w:rPr>
        <w:fldChar w:fldCharType="end"/>
      </w:r>
      <w:bookmarkEnd w:id="41"/>
      <w:r>
        <w:t>.</w:t>
      </w:r>
      <w:proofErr w:type="gramEnd"/>
      <w:r>
        <w:tab/>
      </w:r>
      <w:proofErr w:type="gramStart"/>
      <w:r>
        <w:t>Examining the gain in efficiency for subsampling using Riparian data, in the absence of consideration for costs.</w:t>
      </w:r>
      <w:proofErr w:type="gramEnd"/>
      <w:r>
        <w:t xml:space="preserve"> Here it is assumed that the variance of the PSU is as observed in the population (5.75), whereas the variance of the subsample was 65% of the PSU (3.75; an estimate of the subsampling variance at the Landscape Unit level).</w:t>
      </w:r>
    </w:p>
    <w:p w:rsidR="00414661" w:rsidRDefault="00414661">
      <w:r>
        <w:br w:type="page"/>
      </w:r>
    </w:p>
    <w:p w:rsidR="00183085" w:rsidRDefault="00414661" w:rsidP="00414661">
      <w:pPr>
        <w:pStyle w:val="Heading1"/>
      </w:pPr>
      <w:r>
        <w:lastRenderedPageBreak/>
        <w:t>References</w:t>
      </w:r>
    </w:p>
    <w:p w:rsidR="00414661" w:rsidRPr="00B430B6" w:rsidRDefault="00B430B6" w:rsidP="00B430B6">
      <w:pPr>
        <w:ind w:left="360" w:hanging="360"/>
        <w:rPr>
          <w:szCs w:val="24"/>
        </w:rPr>
      </w:pPr>
      <w:r w:rsidRPr="00B430B6">
        <w:rPr>
          <w:szCs w:val="24"/>
        </w:rPr>
        <w:t>Cochran, W.</w:t>
      </w:r>
      <w:r w:rsidR="00414661" w:rsidRPr="00B430B6">
        <w:rPr>
          <w:szCs w:val="24"/>
        </w:rPr>
        <w:t xml:space="preserve">G. 1977. </w:t>
      </w:r>
      <w:proofErr w:type="gramStart"/>
      <w:r w:rsidR="00414661" w:rsidRPr="00B430B6">
        <w:rPr>
          <w:szCs w:val="24"/>
        </w:rPr>
        <w:t>Sampling techniques.</w:t>
      </w:r>
      <w:proofErr w:type="gramEnd"/>
      <w:r w:rsidR="00414661" w:rsidRPr="00B430B6">
        <w:rPr>
          <w:szCs w:val="24"/>
        </w:rPr>
        <w:t xml:space="preserve"> </w:t>
      </w:r>
      <w:proofErr w:type="gramStart"/>
      <w:r w:rsidR="00414661" w:rsidRPr="00B430B6">
        <w:rPr>
          <w:szCs w:val="24"/>
        </w:rPr>
        <w:t>John Wiley &amp;</w:t>
      </w:r>
      <w:r w:rsidRPr="00B430B6">
        <w:rPr>
          <w:szCs w:val="24"/>
        </w:rPr>
        <w:t xml:space="preserve"> </w:t>
      </w:r>
      <w:r w:rsidR="00414661" w:rsidRPr="00B430B6">
        <w:rPr>
          <w:szCs w:val="24"/>
        </w:rPr>
        <w:t>Sons, New York, N.Y.</w:t>
      </w:r>
      <w:proofErr w:type="gramEnd"/>
    </w:p>
    <w:p w:rsidR="00B430B6" w:rsidRDefault="00B430B6" w:rsidP="00B430B6">
      <w:pPr>
        <w:ind w:left="360" w:hanging="360"/>
        <w:rPr>
          <w:szCs w:val="24"/>
        </w:rPr>
      </w:pPr>
      <w:proofErr w:type="spellStart"/>
      <w:r>
        <w:rPr>
          <w:szCs w:val="24"/>
        </w:rPr>
        <w:t>Hurlbert</w:t>
      </w:r>
      <w:proofErr w:type="spellEnd"/>
      <w:r>
        <w:rPr>
          <w:szCs w:val="24"/>
        </w:rPr>
        <w:t xml:space="preserve">, S.H. 1984. </w:t>
      </w:r>
      <w:proofErr w:type="spellStart"/>
      <w:proofErr w:type="gramStart"/>
      <w:r>
        <w:rPr>
          <w:szCs w:val="24"/>
        </w:rPr>
        <w:t>Pseudoreplication</w:t>
      </w:r>
      <w:proofErr w:type="spellEnd"/>
      <w:r>
        <w:rPr>
          <w:szCs w:val="24"/>
        </w:rPr>
        <w:t xml:space="preserve"> and the Design of Ecological Field Experiments.</w:t>
      </w:r>
      <w:proofErr w:type="gramEnd"/>
      <w:r>
        <w:rPr>
          <w:szCs w:val="24"/>
        </w:rPr>
        <w:t xml:space="preserve"> Ecological Monographs 54(2): 187-211.</w:t>
      </w:r>
    </w:p>
    <w:p w:rsidR="00414661" w:rsidRPr="00B430B6" w:rsidRDefault="00B430B6" w:rsidP="00B430B6">
      <w:pPr>
        <w:ind w:left="360" w:hanging="360"/>
        <w:rPr>
          <w:szCs w:val="24"/>
        </w:rPr>
      </w:pPr>
      <w:proofErr w:type="spellStart"/>
      <w:r w:rsidRPr="00B430B6">
        <w:rPr>
          <w:szCs w:val="24"/>
        </w:rPr>
        <w:t>Lohr</w:t>
      </w:r>
      <w:proofErr w:type="spellEnd"/>
      <w:r w:rsidRPr="00B430B6">
        <w:rPr>
          <w:szCs w:val="24"/>
        </w:rPr>
        <w:t>, S.</w:t>
      </w:r>
      <w:r w:rsidR="00414661" w:rsidRPr="00B430B6">
        <w:rPr>
          <w:szCs w:val="24"/>
        </w:rPr>
        <w:t xml:space="preserve">L. 1999. Sampling: design and analysis. </w:t>
      </w:r>
      <w:proofErr w:type="gramStart"/>
      <w:r w:rsidR="00414661" w:rsidRPr="00B430B6">
        <w:rPr>
          <w:szCs w:val="24"/>
        </w:rPr>
        <w:t>Brooks/Cole Publishin</w:t>
      </w:r>
      <w:r w:rsidRPr="00B430B6">
        <w:rPr>
          <w:szCs w:val="24"/>
        </w:rPr>
        <w:t>g Company, Pacific Grove, CA.</w:t>
      </w:r>
      <w:proofErr w:type="gramEnd"/>
    </w:p>
    <w:p w:rsidR="00BD7FBD" w:rsidRDefault="00BD7FBD" w:rsidP="00BD7FBD">
      <w:pPr>
        <w:ind w:left="360" w:hanging="360"/>
        <w:rPr>
          <w:szCs w:val="24"/>
        </w:rPr>
      </w:pPr>
      <w:proofErr w:type="gramStart"/>
      <w:r w:rsidRPr="00BD7FBD">
        <w:rPr>
          <w:szCs w:val="24"/>
        </w:rPr>
        <w:t>Paige, K., L.M. Darling and D. Pickard.</w:t>
      </w:r>
      <w:proofErr w:type="gramEnd"/>
      <w:r w:rsidRPr="00BD7FBD">
        <w:rPr>
          <w:szCs w:val="24"/>
        </w:rPr>
        <w:t xml:space="preserve"> </w:t>
      </w:r>
      <w:r>
        <w:rPr>
          <w:szCs w:val="24"/>
        </w:rPr>
        <w:t xml:space="preserve">2014. </w:t>
      </w:r>
      <w:r w:rsidRPr="00BD7FBD">
        <w:rPr>
          <w:szCs w:val="24"/>
        </w:rPr>
        <w:t xml:space="preserve">A Guide to Wildlife Resource Value Effectiveness Evaluations. </w:t>
      </w:r>
      <w:proofErr w:type="gramStart"/>
      <w:r w:rsidRPr="00BD7FBD">
        <w:rPr>
          <w:szCs w:val="24"/>
        </w:rPr>
        <w:t>Ecosystems Branch,</w:t>
      </w:r>
      <w:r>
        <w:rPr>
          <w:szCs w:val="24"/>
        </w:rPr>
        <w:t xml:space="preserve"> </w:t>
      </w:r>
      <w:r w:rsidRPr="00BD7FBD">
        <w:rPr>
          <w:szCs w:val="24"/>
        </w:rPr>
        <w:t>Ministry of Environment, Resource Practices Br., Ministry of Forests, Lands and Natural Resource Operations.</w:t>
      </w:r>
      <w:proofErr w:type="gramEnd"/>
      <w:r w:rsidRPr="00BD7FBD">
        <w:rPr>
          <w:szCs w:val="24"/>
        </w:rPr>
        <w:t xml:space="preserve"> Victoria, BC.</w:t>
      </w:r>
      <w:r>
        <w:rPr>
          <w:szCs w:val="24"/>
        </w:rPr>
        <w:t xml:space="preserve"> </w:t>
      </w:r>
      <w:r w:rsidRPr="00BD7FBD">
        <w:rPr>
          <w:szCs w:val="24"/>
        </w:rPr>
        <w:t>FREP Report 37.</w:t>
      </w:r>
      <w:r>
        <w:rPr>
          <w:szCs w:val="24"/>
        </w:rPr>
        <w:t xml:space="preserve"> </w:t>
      </w:r>
      <w:hyperlink r:id="rId17" w:history="1">
        <w:r w:rsidRPr="00256120">
          <w:rPr>
            <w:rStyle w:val="Hyperlink"/>
            <w:szCs w:val="24"/>
          </w:rPr>
          <w:t>http://www.for.gov.bc.ca/hfp/frep/publications/index.htm</w:t>
        </w:r>
      </w:hyperlink>
      <w:r>
        <w:rPr>
          <w:szCs w:val="24"/>
        </w:rPr>
        <w:t xml:space="preserve"> </w:t>
      </w:r>
    </w:p>
    <w:p w:rsidR="00414661" w:rsidRPr="00B430B6" w:rsidRDefault="00414661" w:rsidP="00B430B6">
      <w:pPr>
        <w:ind w:left="360" w:hanging="360"/>
        <w:rPr>
          <w:szCs w:val="24"/>
        </w:rPr>
      </w:pPr>
      <w:proofErr w:type="gramStart"/>
      <w:r w:rsidRPr="00B430B6">
        <w:rPr>
          <w:szCs w:val="24"/>
        </w:rPr>
        <w:t>Pickard, D. and A.W. Hall.</w:t>
      </w:r>
      <w:proofErr w:type="gramEnd"/>
      <w:r w:rsidRPr="00B430B6">
        <w:rPr>
          <w:szCs w:val="24"/>
        </w:rPr>
        <w:t xml:space="preserve"> 2015. FREP Sampling Design: User Feedback and Preliminary Options for Improvement. </w:t>
      </w:r>
      <w:proofErr w:type="gramStart"/>
      <w:r w:rsidRPr="00B430B6">
        <w:rPr>
          <w:szCs w:val="24"/>
        </w:rPr>
        <w:t>Prepared by ESSA Technologies Ltd., Vancouver, B.C. for the Forest and Range Evaluation Program, BC Ministry of Forest, Lands and Natural Resource Operations, Victoria, BC.</w:t>
      </w:r>
      <w:proofErr w:type="gramEnd"/>
      <w:r w:rsidRPr="00B430B6">
        <w:rPr>
          <w:szCs w:val="24"/>
        </w:rPr>
        <w:t xml:space="preserve"> </w:t>
      </w:r>
      <w:proofErr w:type="gramStart"/>
      <w:r w:rsidRPr="00B430B6">
        <w:rPr>
          <w:szCs w:val="24"/>
        </w:rPr>
        <w:t>42 pp. + Appendices.</w:t>
      </w:r>
      <w:proofErr w:type="gramEnd"/>
    </w:p>
    <w:p w:rsidR="00414661" w:rsidRPr="00B430B6" w:rsidRDefault="00414661" w:rsidP="00B430B6">
      <w:pPr>
        <w:ind w:left="360" w:hanging="360"/>
        <w:rPr>
          <w:szCs w:val="24"/>
        </w:rPr>
      </w:pPr>
      <w:proofErr w:type="gramStart"/>
      <w:r w:rsidRPr="00B430B6">
        <w:rPr>
          <w:szCs w:val="24"/>
        </w:rPr>
        <w:t>Thompson</w:t>
      </w:r>
      <w:r w:rsidR="00B430B6">
        <w:rPr>
          <w:szCs w:val="24"/>
        </w:rPr>
        <w:t>,</w:t>
      </w:r>
      <w:r w:rsidRPr="00B430B6">
        <w:rPr>
          <w:szCs w:val="24"/>
        </w:rPr>
        <w:t xml:space="preserve"> S.K. 2002.</w:t>
      </w:r>
      <w:proofErr w:type="gramEnd"/>
      <w:r w:rsidRPr="00B430B6">
        <w:rPr>
          <w:szCs w:val="24"/>
        </w:rPr>
        <w:t xml:space="preserve"> </w:t>
      </w:r>
      <w:proofErr w:type="gramStart"/>
      <w:r w:rsidRPr="00B430B6">
        <w:rPr>
          <w:szCs w:val="24"/>
        </w:rPr>
        <w:t>Sampling.</w:t>
      </w:r>
      <w:proofErr w:type="gramEnd"/>
      <w:r w:rsidRPr="00B430B6">
        <w:rPr>
          <w:szCs w:val="24"/>
        </w:rPr>
        <w:t xml:space="preserve"> </w:t>
      </w:r>
      <w:proofErr w:type="gramStart"/>
      <w:r w:rsidRPr="00B430B6">
        <w:rPr>
          <w:szCs w:val="24"/>
        </w:rPr>
        <w:t>2nd Ed. John Wiley &amp; Sons, New</w:t>
      </w:r>
      <w:r w:rsidR="00B430B6">
        <w:rPr>
          <w:szCs w:val="24"/>
        </w:rPr>
        <w:t xml:space="preserve"> </w:t>
      </w:r>
      <w:r w:rsidRPr="00B430B6">
        <w:rPr>
          <w:szCs w:val="24"/>
        </w:rPr>
        <w:t>York, N.Y.</w:t>
      </w:r>
      <w:proofErr w:type="gramEnd"/>
    </w:p>
    <w:p w:rsidR="00414661" w:rsidRDefault="00414661" w:rsidP="00414661">
      <w:pPr>
        <w:pStyle w:val="CommentText"/>
      </w:pPr>
    </w:p>
    <w:p w:rsidR="00FF64ED" w:rsidRDefault="00FF64ED" w:rsidP="00FF64ED">
      <w:r>
        <w:br w:type="page"/>
      </w:r>
    </w:p>
    <w:p w:rsidR="000B519A" w:rsidRPr="002B118C" w:rsidRDefault="00010485" w:rsidP="009D13B3">
      <w:pPr>
        <w:pStyle w:val="Heading1"/>
        <w:numPr>
          <w:ilvl w:val="0"/>
          <w:numId w:val="0"/>
        </w:numPr>
        <w:ind w:left="360" w:hanging="360"/>
      </w:pPr>
      <w:bookmarkStart w:id="42" w:name="_Toc442204980"/>
      <w:r w:rsidRPr="002B118C">
        <w:lastRenderedPageBreak/>
        <w:t>APPENDICES</w:t>
      </w:r>
      <w:bookmarkEnd w:id="42"/>
    </w:p>
    <w:p w:rsidR="00BA3A7F" w:rsidRDefault="009D13B3" w:rsidP="009D13B3">
      <w:pPr>
        <w:pStyle w:val="Heading2"/>
        <w:numPr>
          <w:ilvl w:val="0"/>
          <w:numId w:val="0"/>
        </w:numPr>
        <w:ind w:left="576" w:hanging="576"/>
      </w:pPr>
      <w:bookmarkStart w:id="43" w:name="_Toc439784480"/>
      <w:bookmarkStart w:id="44" w:name="_Toc442204981"/>
      <w:r>
        <w:t xml:space="preserve">Appendix 1: </w:t>
      </w:r>
      <w:r w:rsidR="00053EDD">
        <w:t>The FREP</w:t>
      </w:r>
      <w:r w:rsidR="009060F2">
        <w:t xml:space="preserve"> Sampling Design</w:t>
      </w:r>
      <w:bookmarkEnd w:id="43"/>
      <w:bookmarkEnd w:id="44"/>
    </w:p>
    <w:p w:rsidR="003E0077" w:rsidRDefault="003E0077" w:rsidP="003E0077">
      <w:r>
        <w:t xml:space="preserve">The original monitoring framework was carefully designed. </w:t>
      </w:r>
      <w:r w:rsidR="00193B81">
        <w:t>A brief synopsis of some of the key attributes of the sampling design are described below; however, t</w:t>
      </w:r>
      <w:r>
        <w:t>he full details of the sampling design and program scope can be found on the FREP website (</w:t>
      </w:r>
      <w:hyperlink r:id="rId18" w:history="1">
        <w:r w:rsidR="00193B81" w:rsidRPr="0075336C">
          <w:rPr>
            <w:rStyle w:val="Hyperlink"/>
          </w:rPr>
          <w:t>https://www.for.gov.bc.ca/hfp/frep/</w:t>
        </w:r>
      </w:hyperlink>
      <w:r w:rsidR="00193B81">
        <w:t>).</w:t>
      </w:r>
    </w:p>
    <w:p w:rsidR="00EA1DB9" w:rsidRDefault="00193B81" w:rsidP="00EA1DB9">
      <w:r>
        <w:t xml:space="preserve">The </w:t>
      </w:r>
      <w:r w:rsidR="00EA1DB9">
        <w:t xml:space="preserve">core </w:t>
      </w:r>
      <w:r>
        <w:t xml:space="preserve">FREP design uses </w:t>
      </w:r>
      <w:proofErr w:type="spellStart"/>
      <w:r>
        <w:t>cutblock</w:t>
      </w:r>
      <w:proofErr w:type="spellEnd"/>
      <w:r>
        <w:t xml:space="preserve">-based sampling frame (i.e., </w:t>
      </w:r>
      <w:proofErr w:type="spellStart"/>
      <w:r>
        <w:t>cutblocks</w:t>
      </w:r>
      <w:proofErr w:type="spellEnd"/>
      <w:r>
        <w:t xml:space="preserve"> are the primary sampling unit)</w:t>
      </w:r>
      <w:r w:rsidR="00EA1DB9">
        <w:t xml:space="preserve"> and applies simple random selection within each </w:t>
      </w:r>
      <w:r>
        <w:t xml:space="preserve">Natural Resource District </w:t>
      </w:r>
      <w:r w:rsidR="00EA1DB9">
        <w:t xml:space="preserve">(i.e., district is the main stratum factor). </w:t>
      </w:r>
      <w:r w:rsidR="00AB55D9">
        <w:t xml:space="preserve">For the timber value (i.e., </w:t>
      </w:r>
      <w:proofErr w:type="gramStart"/>
      <w:r w:rsidR="00AB55D9">
        <w:t>stand</w:t>
      </w:r>
      <w:proofErr w:type="gramEnd"/>
      <w:r w:rsidR="00AB55D9">
        <w:t xml:space="preserve"> development monitoring), the main stratum factor is a combination of district and Timber Supply Area (TSA). </w:t>
      </w:r>
      <w:r w:rsidR="00EA1DB9">
        <w:t xml:space="preserve">The random choice of </w:t>
      </w:r>
      <w:proofErr w:type="spellStart"/>
      <w:r w:rsidR="00EA1DB9">
        <w:t>cutblocks</w:t>
      </w:r>
      <w:proofErr w:type="spellEnd"/>
      <w:r w:rsidR="00EA1DB9">
        <w:t xml:space="preserve"> within </w:t>
      </w:r>
      <w:r w:rsidR="00AB55D9">
        <w:t>the main stratum factor</w:t>
      </w:r>
      <w:r w:rsidR="00EA1DB9">
        <w:t xml:space="preserve"> provides unbiased samples. Given sufficient numbers of </w:t>
      </w:r>
      <w:proofErr w:type="spellStart"/>
      <w:r w:rsidR="00EA1DB9">
        <w:t>cutblocks</w:t>
      </w:r>
      <w:proofErr w:type="spellEnd"/>
      <w:r w:rsidR="00EA1DB9">
        <w:t xml:space="preserve">, outcomes will generally represent the predefined population of harvested </w:t>
      </w:r>
      <w:proofErr w:type="spellStart"/>
      <w:r w:rsidR="00EA1DB9">
        <w:t>cutblocks</w:t>
      </w:r>
      <w:proofErr w:type="spellEnd"/>
      <w:r w:rsidR="00EA1DB9">
        <w:t>.</w:t>
      </w:r>
    </w:p>
    <w:p w:rsidR="000A0B17" w:rsidRDefault="000A0B17" w:rsidP="000A0B17">
      <w:r>
        <w:t xml:space="preserve">The original architects of the FREP sampling design intentionally decided to select </w:t>
      </w:r>
      <w:r w:rsidR="00223E57">
        <w:t xml:space="preserve">samples </w:t>
      </w:r>
      <w:r>
        <w:t xml:space="preserve">based on individual </w:t>
      </w:r>
      <w:proofErr w:type="spellStart"/>
      <w:r>
        <w:t>cutblocks</w:t>
      </w:r>
      <w:proofErr w:type="spellEnd"/>
      <w:r>
        <w:t xml:space="preserve"> and not weight selection by </w:t>
      </w:r>
      <w:proofErr w:type="spellStart"/>
      <w:r>
        <w:t>cutblock</w:t>
      </w:r>
      <w:proofErr w:type="spellEnd"/>
      <w:r>
        <w:t xml:space="preserve"> area. That is, the FREP design uses a simple random selection approach and does not use probability proportional to size. As explained during the January 2015 workshop, the rationale was that FREP is intended to assess the effectiveness of policy and practices on </w:t>
      </w:r>
      <w:proofErr w:type="spellStart"/>
      <w:r>
        <w:t>cutblocks</w:t>
      </w:r>
      <w:proofErr w:type="spellEnd"/>
      <w:r>
        <w:t>, not on area</w:t>
      </w:r>
      <w:r w:rsidR="00B017E5">
        <w:t>, with an</w:t>
      </w:r>
      <w:r>
        <w:t xml:space="preserve"> emphasis more on understanding the numbers of successful decisions, rather than estimating attributes across the landscape (e.g., timber volume).</w:t>
      </w:r>
    </w:p>
    <w:p w:rsidR="00EA1DB9" w:rsidRDefault="0040087E" w:rsidP="00EA1DB9">
      <w:r>
        <w:t xml:space="preserve">Each FREP value has a slightly different population definition. For most of the values, the population is based upon recent harvest plus key attributes that define the value. Each year, for each district, a population list of all </w:t>
      </w:r>
      <w:proofErr w:type="spellStart"/>
      <w:r>
        <w:t>cutblocks</w:t>
      </w:r>
      <w:proofErr w:type="spellEnd"/>
      <w:r>
        <w:t xml:space="preserve"> harvested in the previous 3 years and greater than 2 ha in gross area is generated from the RESULTS database. This list is randomized (so that moving through the list in sequence represents a simple random selection process</w:t>
      </w:r>
      <w:r w:rsidR="00787855">
        <w:t>)</w:t>
      </w:r>
      <w:r>
        <w:t xml:space="preserve">. </w:t>
      </w:r>
      <w:r w:rsidR="00787855">
        <w:t>The populations for different FREP values are then refined based on this list, as follows:</w:t>
      </w:r>
    </w:p>
    <w:p w:rsidR="00EA1DB9" w:rsidRDefault="00EA1DB9" w:rsidP="00EC2B95">
      <w:pPr>
        <w:pStyle w:val="ListParagraph"/>
        <w:numPr>
          <w:ilvl w:val="0"/>
          <w:numId w:val="10"/>
        </w:numPr>
        <w:spacing w:after="0"/>
        <w:rPr>
          <w:noProof/>
        </w:rPr>
      </w:pPr>
      <w:r>
        <w:rPr>
          <w:noProof/>
        </w:rPr>
        <w:t>Stand level biodiversity –all blocks</w:t>
      </w:r>
    </w:p>
    <w:p w:rsidR="00EA1DB9" w:rsidRDefault="00EA1DB9" w:rsidP="00EC2B95">
      <w:pPr>
        <w:pStyle w:val="ListParagraph"/>
        <w:numPr>
          <w:ilvl w:val="0"/>
          <w:numId w:val="10"/>
        </w:numPr>
        <w:spacing w:after="0"/>
        <w:rPr>
          <w:noProof/>
        </w:rPr>
      </w:pPr>
      <w:r>
        <w:rPr>
          <w:noProof/>
        </w:rPr>
        <w:t xml:space="preserve">Riparian – </w:t>
      </w:r>
      <w:r w:rsidR="00787855">
        <w:rPr>
          <w:noProof/>
        </w:rPr>
        <w:t xml:space="preserve">presence of </w:t>
      </w:r>
      <w:r>
        <w:rPr>
          <w:noProof/>
        </w:rPr>
        <w:t>stream</w:t>
      </w:r>
      <w:r w:rsidR="00787855">
        <w:rPr>
          <w:noProof/>
        </w:rPr>
        <w:t>s</w:t>
      </w:r>
      <w:r>
        <w:rPr>
          <w:noProof/>
        </w:rPr>
        <w:t xml:space="preserve"> in or near blocks</w:t>
      </w:r>
    </w:p>
    <w:p w:rsidR="00EA1DB9" w:rsidRDefault="00EA1DB9" w:rsidP="00EC2B95">
      <w:pPr>
        <w:pStyle w:val="ListParagraph"/>
        <w:numPr>
          <w:ilvl w:val="0"/>
          <w:numId w:val="10"/>
        </w:numPr>
        <w:spacing w:after="0"/>
        <w:rPr>
          <w:noProof/>
        </w:rPr>
      </w:pPr>
      <w:r>
        <w:rPr>
          <w:noProof/>
        </w:rPr>
        <w:t xml:space="preserve">Water Quality – </w:t>
      </w:r>
      <w:r w:rsidR="00787855">
        <w:rPr>
          <w:noProof/>
        </w:rPr>
        <w:t xml:space="preserve">presence of </w:t>
      </w:r>
      <w:r>
        <w:rPr>
          <w:noProof/>
        </w:rPr>
        <w:t>roads</w:t>
      </w:r>
      <w:r w:rsidR="00B430BB">
        <w:rPr>
          <w:noProof/>
        </w:rPr>
        <w:t xml:space="preserve"> and streams </w:t>
      </w:r>
    </w:p>
    <w:p w:rsidR="00EA1DB9" w:rsidRDefault="00EA1DB9" w:rsidP="00EC2B95">
      <w:pPr>
        <w:pStyle w:val="ListParagraph"/>
        <w:numPr>
          <w:ilvl w:val="0"/>
          <w:numId w:val="10"/>
        </w:numPr>
        <w:spacing w:after="0"/>
        <w:rPr>
          <w:noProof/>
        </w:rPr>
      </w:pPr>
      <w:r>
        <w:rPr>
          <w:noProof/>
        </w:rPr>
        <w:t xml:space="preserve">Cultural heritage – </w:t>
      </w:r>
      <w:r w:rsidR="00787855">
        <w:rPr>
          <w:noProof/>
        </w:rPr>
        <w:t>presence of cultural heritage features</w:t>
      </w:r>
    </w:p>
    <w:p w:rsidR="00EA1DB9" w:rsidRDefault="00EA1DB9" w:rsidP="00EC2B95">
      <w:pPr>
        <w:pStyle w:val="ListParagraph"/>
        <w:numPr>
          <w:ilvl w:val="0"/>
          <w:numId w:val="10"/>
        </w:numPr>
        <w:spacing w:after="0"/>
        <w:rPr>
          <w:noProof/>
        </w:rPr>
      </w:pPr>
      <w:r>
        <w:rPr>
          <w:noProof/>
        </w:rPr>
        <w:t>Visual Quality – visual quality objective</w:t>
      </w:r>
      <w:r w:rsidR="00787855">
        <w:rPr>
          <w:noProof/>
        </w:rPr>
        <w:t>s</w:t>
      </w:r>
      <w:r>
        <w:rPr>
          <w:noProof/>
        </w:rPr>
        <w:t xml:space="preserve"> </w:t>
      </w:r>
    </w:p>
    <w:p w:rsidR="00EA1DB9" w:rsidRDefault="00EA1DB9" w:rsidP="00EC2B95">
      <w:pPr>
        <w:pStyle w:val="ListParagraph"/>
        <w:numPr>
          <w:ilvl w:val="0"/>
          <w:numId w:val="10"/>
        </w:numPr>
        <w:spacing w:after="0"/>
        <w:rPr>
          <w:noProof/>
        </w:rPr>
      </w:pPr>
      <w:r>
        <w:rPr>
          <w:noProof/>
        </w:rPr>
        <w:t>Soils – all blocks</w:t>
      </w:r>
    </w:p>
    <w:p w:rsidR="00EA1DB9" w:rsidRDefault="00EA1DB9" w:rsidP="00EC2B95">
      <w:pPr>
        <w:pStyle w:val="ListParagraph"/>
        <w:numPr>
          <w:ilvl w:val="0"/>
          <w:numId w:val="10"/>
        </w:numPr>
        <w:spacing w:after="0"/>
        <w:rPr>
          <w:noProof/>
        </w:rPr>
      </w:pPr>
      <w:r>
        <w:rPr>
          <w:noProof/>
        </w:rPr>
        <w:t>Resource Feature (</w:t>
      </w:r>
      <w:r w:rsidR="00787855">
        <w:rPr>
          <w:noProof/>
        </w:rPr>
        <w:t>i.e., pilot for karst</w:t>
      </w:r>
      <w:r>
        <w:rPr>
          <w:noProof/>
        </w:rPr>
        <w:t xml:space="preserve">) – </w:t>
      </w:r>
      <w:r w:rsidR="00787855">
        <w:rPr>
          <w:noProof/>
        </w:rPr>
        <w:t xml:space="preserve">presence of </w:t>
      </w:r>
      <w:r>
        <w:rPr>
          <w:noProof/>
        </w:rPr>
        <w:t>karst feature</w:t>
      </w:r>
      <w:r w:rsidR="00787855">
        <w:rPr>
          <w:noProof/>
        </w:rPr>
        <w:t>s</w:t>
      </w:r>
    </w:p>
    <w:p w:rsidR="0075336C" w:rsidRDefault="0075336C" w:rsidP="0075336C">
      <w:pPr>
        <w:spacing w:after="0"/>
        <w:rPr>
          <w:noProof/>
        </w:rPr>
      </w:pPr>
    </w:p>
    <w:p w:rsidR="00787855" w:rsidRDefault="00787855" w:rsidP="00787855">
      <w:pPr>
        <w:rPr>
          <w:noProof/>
        </w:rPr>
      </w:pPr>
      <w:r>
        <w:rPr>
          <w:noProof/>
        </w:rPr>
        <w:t>The full population</w:t>
      </w:r>
      <w:r w:rsidR="00AB55D9">
        <w:rPr>
          <w:noProof/>
        </w:rPr>
        <w:t>s</w:t>
      </w:r>
      <w:r>
        <w:rPr>
          <w:noProof/>
        </w:rPr>
        <w:t xml:space="preserve"> for other FREP values </w:t>
      </w:r>
      <w:r w:rsidR="00AB55D9">
        <w:rPr>
          <w:noProof/>
        </w:rPr>
        <w:t>are</w:t>
      </w:r>
      <w:r>
        <w:rPr>
          <w:noProof/>
        </w:rPr>
        <w:t xml:space="preserve"> defined differently</w:t>
      </w:r>
      <w:r w:rsidR="00AB55D9">
        <w:rPr>
          <w:noProof/>
        </w:rPr>
        <w:t>. For</w:t>
      </w:r>
    </w:p>
    <w:p w:rsidR="00EA1DB9" w:rsidRDefault="00EA1DB9" w:rsidP="00EC2B95">
      <w:pPr>
        <w:pStyle w:val="ListParagraph"/>
        <w:numPr>
          <w:ilvl w:val="0"/>
          <w:numId w:val="10"/>
        </w:numPr>
        <w:spacing w:after="0"/>
        <w:rPr>
          <w:noProof/>
        </w:rPr>
      </w:pPr>
      <w:r>
        <w:rPr>
          <w:noProof/>
        </w:rPr>
        <w:t xml:space="preserve">Stand </w:t>
      </w:r>
      <w:r w:rsidR="00E20EEE">
        <w:rPr>
          <w:noProof/>
        </w:rPr>
        <w:t xml:space="preserve">development </w:t>
      </w:r>
      <w:r>
        <w:rPr>
          <w:noProof/>
        </w:rPr>
        <w:t xml:space="preserve"> monitoring</w:t>
      </w:r>
      <w:r w:rsidR="00AB55D9">
        <w:rPr>
          <w:noProof/>
        </w:rPr>
        <w:t xml:space="preserve"> (i.e., timber value)</w:t>
      </w:r>
      <w:r>
        <w:rPr>
          <w:noProof/>
        </w:rPr>
        <w:t xml:space="preserve"> – 20-40 year old polygon random list from RESULTS </w:t>
      </w:r>
    </w:p>
    <w:p w:rsidR="00EA1DB9" w:rsidRDefault="00EA1DB9" w:rsidP="00EC2B95">
      <w:pPr>
        <w:pStyle w:val="ListParagraph"/>
        <w:numPr>
          <w:ilvl w:val="0"/>
          <w:numId w:val="10"/>
        </w:numPr>
        <w:spacing w:after="0"/>
        <w:rPr>
          <w:noProof/>
        </w:rPr>
      </w:pPr>
      <w:r>
        <w:rPr>
          <w:noProof/>
        </w:rPr>
        <w:t>Wildlife – wildlife habitat area or ungulate winter range for species of interest</w:t>
      </w:r>
      <w:r w:rsidR="00E20EEE">
        <w:rPr>
          <w:noProof/>
        </w:rPr>
        <w:t xml:space="preserve"> (GIS-based) or cutblock (habitat-based)</w:t>
      </w:r>
    </w:p>
    <w:p w:rsidR="00EA1DB9" w:rsidRDefault="00EA1DB9" w:rsidP="00EC2B95">
      <w:pPr>
        <w:pStyle w:val="ListParagraph"/>
        <w:numPr>
          <w:ilvl w:val="0"/>
          <w:numId w:val="10"/>
        </w:numPr>
        <w:spacing w:after="0"/>
        <w:rPr>
          <w:noProof/>
        </w:rPr>
      </w:pPr>
      <w:r>
        <w:rPr>
          <w:noProof/>
        </w:rPr>
        <w:t xml:space="preserve">Recreation – </w:t>
      </w:r>
      <w:r w:rsidR="00AB55D9">
        <w:rPr>
          <w:noProof/>
        </w:rPr>
        <w:t>r</w:t>
      </w:r>
      <w:r>
        <w:rPr>
          <w:noProof/>
        </w:rPr>
        <w:t>ecreation sites or trails</w:t>
      </w:r>
    </w:p>
    <w:p w:rsidR="00EA1DB9" w:rsidRDefault="00EA1DB9" w:rsidP="00EC2B95">
      <w:pPr>
        <w:pStyle w:val="ListParagraph"/>
        <w:numPr>
          <w:ilvl w:val="0"/>
          <w:numId w:val="10"/>
        </w:numPr>
        <w:spacing w:after="0"/>
        <w:rPr>
          <w:noProof/>
        </w:rPr>
      </w:pPr>
      <w:r>
        <w:rPr>
          <w:noProof/>
        </w:rPr>
        <w:t>Fisheries Sensitive Watershed</w:t>
      </w:r>
      <w:r w:rsidR="00AB55D9">
        <w:rPr>
          <w:noProof/>
        </w:rPr>
        <w:t xml:space="preserve"> (FSW)</w:t>
      </w:r>
      <w:r>
        <w:rPr>
          <w:noProof/>
        </w:rPr>
        <w:t xml:space="preserve"> – </w:t>
      </w:r>
      <w:r w:rsidR="00AB55D9">
        <w:rPr>
          <w:noProof/>
        </w:rPr>
        <w:t>d</w:t>
      </w:r>
      <w:r>
        <w:rPr>
          <w:noProof/>
        </w:rPr>
        <w:t xml:space="preserve">esignated </w:t>
      </w:r>
      <w:r w:rsidR="00AB55D9">
        <w:rPr>
          <w:noProof/>
        </w:rPr>
        <w:t xml:space="preserve">FSW </w:t>
      </w:r>
      <w:r>
        <w:rPr>
          <w:noProof/>
        </w:rPr>
        <w:t>or pending</w:t>
      </w:r>
    </w:p>
    <w:p w:rsidR="00EA1DB9" w:rsidRDefault="000A0B17" w:rsidP="003E0077">
      <w:r>
        <w:lastRenderedPageBreak/>
        <w:t>Ultimately, the FREP program does not have one unifying sampling design across all values, but rather multiple sampling designs for each of the different values, all built upon a common set of fundamental principles and many values sharing a very similar design.</w:t>
      </w:r>
    </w:p>
    <w:p w:rsidR="000A0B17" w:rsidRDefault="000A0B17" w:rsidP="003E0077">
      <w:r>
        <w:t xml:space="preserve">In principle, each district is intended to collect 40 samples per year, but there is no formal guidance on how those should be allocated across values. Consequently, the allocation of sampling effort has been primarily left to the discretion of each district. </w:t>
      </w:r>
      <w:r w:rsidR="00053EDD">
        <w:t>However, i</w:t>
      </w:r>
      <w:r>
        <w:t xml:space="preserve">n practice, this goal of 40 samples per year </w:t>
      </w:r>
      <w:r w:rsidR="00053EDD">
        <w:t>has only been achieved 22% of the time and 43% of the time less than 30 samples have been col</w:t>
      </w:r>
      <w:r w:rsidR="00FF64ED">
        <w:t>lected (</w:t>
      </w:r>
      <w:r w:rsidR="00223E57">
        <w:t xml:space="preserve">e.g., </w:t>
      </w:r>
      <w:r w:rsidR="00FF64ED">
        <w:t>over the past 5 years).</w:t>
      </w:r>
    </w:p>
    <w:p w:rsidR="00BA3A7F" w:rsidRDefault="009D13B3" w:rsidP="009D13B3">
      <w:pPr>
        <w:pStyle w:val="Heading2"/>
        <w:numPr>
          <w:ilvl w:val="0"/>
          <w:numId w:val="0"/>
        </w:numPr>
        <w:ind w:left="576" w:hanging="576"/>
      </w:pPr>
      <w:bookmarkStart w:id="45" w:name="_Toc439784481"/>
      <w:bookmarkStart w:id="46" w:name="_Toc442204982"/>
      <w:r>
        <w:t xml:space="preserve">Appendix 2: </w:t>
      </w:r>
      <w:r w:rsidR="00C76C96">
        <w:t>Other</w:t>
      </w:r>
      <w:r w:rsidR="00BA3A7F">
        <w:t xml:space="preserve"> </w:t>
      </w:r>
      <w:r w:rsidR="0031312F">
        <w:t>Large</w:t>
      </w:r>
      <w:r w:rsidR="00C76C96">
        <w:t xml:space="preserve">-scale, </w:t>
      </w:r>
      <w:r w:rsidR="0031312F">
        <w:t>Multi</w:t>
      </w:r>
      <w:r w:rsidR="00C76C96">
        <w:t xml:space="preserve">-value </w:t>
      </w:r>
      <w:r w:rsidR="0031312F">
        <w:t>Monitoring Programs</w:t>
      </w:r>
      <w:bookmarkEnd w:id="45"/>
      <w:bookmarkEnd w:id="46"/>
    </w:p>
    <w:p w:rsidR="00884D89" w:rsidRDefault="00884D89" w:rsidP="009853D9">
      <w:r w:rsidRPr="009972C5">
        <w:t xml:space="preserve">Broad multi-value, multi-question, multi-region monitoring programs comparable to the scale of FREP are certainly not common. Developing such programs can require a huge investment of time and resources to succeed.  The US EPA’s Environmental Monitoring and Assessment Program (EMAP) represents an excellent example of a successful broad-scale </w:t>
      </w:r>
      <w:r>
        <w:t xml:space="preserve">(national) </w:t>
      </w:r>
      <w:r w:rsidRPr="009972C5">
        <w:t xml:space="preserve">and long term monitoring program focused on assessing the status and trends of a range of ecological resources; but doing so required an operating budget averaging around $12M US/year during its 16 year period of implementation. Large investment of funds is common to such regional-scale undertakings but that in itself does not guarantee success. The recent Columbia Basin Collaborative </w:t>
      </w:r>
      <w:proofErr w:type="spellStart"/>
      <w:r w:rsidRPr="009972C5">
        <w:t>Systemwide</w:t>
      </w:r>
      <w:proofErr w:type="spellEnd"/>
      <w:r w:rsidRPr="009972C5">
        <w:t xml:space="preserve"> Monitoring and Evaluation Project (CSMEP) was supported by over a $1M US/year to bring together biologists from federal </w:t>
      </w:r>
      <w:r>
        <w:t>and</w:t>
      </w:r>
      <w:r w:rsidRPr="009972C5">
        <w:t xml:space="preserve"> state agencies and </w:t>
      </w:r>
      <w:r>
        <w:t>First Nations</w:t>
      </w:r>
      <w:r w:rsidRPr="009972C5">
        <w:t xml:space="preserve"> to collaboratively develop and implement broad monitoring and assessment plans for key aquatic resources in the basin. While some useful pilot analyses were developed the project ultimately fell apart only </w:t>
      </w:r>
      <w:r>
        <w:t>four</w:t>
      </w:r>
      <w:r w:rsidRPr="009972C5">
        <w:t xml:space="preserve"> years into its initial </w:t>
      </w:r>
      <w:r>
        <w:t>five</w:t>
      </w:r>
      <w:r w:rsidRPr="009972C5">
        <w:t xml:space="preserve"> year funding cycle. Maintaining long term cohesion and focus on key objectives can be proble</w:t>
      </w:r>
      <w:r>
        <w:t xml:space="preserve">matic within such collaborative, multi-agency </w:t>
      </w:r>
      <w:r w:rsidRPr="009972C5">
        <w:t>programs, and req</w:t>
      </w:r>
      <w:r>
        <w:t xml:space="preserve">uires a strong unifying theme. </w:t>
      </w:r>
      <w:r w:rsidR="00E26C7B">
        <w:t xml:space="preserve">The FREP program has, in some regards, the advantage of </w:t>
      </w:r>
      <w:r w:rsidR="00B017E5">
        <w:t>only involving two agencies (the Ministry of Forests, Lands and Natural Resource Operations (lead) and the Ministry of Environment)</w:t>
      </w:r>
      <w:r w:rsidR="00E26C7B">
        <w:t>, though it does require collaboration with each of the districts to implement the monitoring program.</w:t>
      </w:r>
    </w:p>
    <w:p w:rsidR="00884D89" w:rsidRDefault="0044328C" w:rsidP="009853D9">
      <w:r>
        <w:t>Many successful c</w:t>
      </w:r>
      <w:r w:rsidR="00884D89" w:rsidRPr="009972C5">
        <w:t xml:space="preserve">ollaborative monitoring programs, while </w:t>
      </w:r>
      <w:r>
        <w:t xml:space="preserve">still </w:t>
      </w:r>
      <w:r w:rsidR="00884D89" w:rsidRPr="009972C5">
        <w:t xml:space="preserve">ambitious in regard to overall scope (i.e. multi-resource, multi-question, long term), </w:t>
      </w:r>
      <w:r>
        <w:t>often tend to be</w:t>
      </w:r>
      <w:r w:rsidR="00884D89" w:rsidRPr="009972C5">
        <w:t xml:space="preserve"> more localized in their geographic extent</w:t>
      </w:r>
      <w:r>
        <w:t>.</w:t>
      </w:r>
      <w:r w:rsidR="00884D89" w:rsidRPr="009972C5">
        <w:t xml:space="preserve"> The Integrated Assessment Program for northern California’s Trinity River Restoration Program (TRRP</w:t>
      </w:r>
      <w:r w:rsidR="009853D9">
        <w:t>;</w:t>
      </w:r>
      <w:r w:rsidR="00884D89" w:rsidRPr="009972C5">
        <w:t xml:space="preserve"> </w:t>
      </w:r>
      <w:hyperlink r:id="rId19" w:history="1">
        <w:r w:rsidR="00884D89" w:rsidRPr="009972C5">
          <w:rPr>
            <w:rStyle w:val="Hyperlink"/>
          </w:rPr>
          <w:t>http://www.trrp.net/</w:t>
        </w:r>
      </w:hyperlink>
      <w:r w:rsidR="009853D9">
        <w:t xml:space="preserve">) </w:t>
      </w:r>
      <w:r w:rsidR="00884D89" w:rsidRPr="009972C5">
        <w:t xml:space="preserve">is an ongoing, successful collaborative monitoring effort led by the US Bureau of Reclamation and supported by a variety of </w:t>
      </w:r>
      <w:r w:rsidR="00884D89">
        <w:t>federal, state and Tribal agencies</w:t>
      </w:r>
      <w:r w:rsidR="00884D89" w:rsidRPr="009972C5">
        <w:t xml:space="preserve"> to assess status of aquatic and terrestrial resources affected by </w:t>
      </w:r>
      <w:r w:rsidR="00884D89">
        <w:t xml:space="preserve">the </w:t>
      </w:r>
      <w:r w:rsidR="00884D89" w:rsidRPr="009972C5">
        <w:t xml:space="preserve">restoration of functional processes within the river basin. </w:t>
      </w:r>
      <w:r w:rsidR="00884D89">
        <w:t>Focusing</w:t>
      </w:r>
      <w:r w:rsidR="00884D89" w:rsidRPr="009972C5">
        <w:t xml:space="preserve"> evaluations at the scale of a relatively small river basin has in this case helped maintain consistent effort and results; but even at this geographic scale expenditures are considerable. The annual budget for the TRRP is around $12M US/year, with over $1M US/year spent on the associated monitoring program. </w:t>
      </w:r>
      <w:r w:rsidR="00884D89">
        <w:t>By comparison, the FREP program, while covering a much larger geographic scale, operates on a significantly smaller budget</w:t>
      </w:r>
      <w:r w:rsidR="00E26C7B">
        <w:t>.</w:t>
      </w:r>
    </w:p>
    <w:p w:rsidR="00884D89" w:rsidRPr="009972C5" w:rsidRDefault="00884D89" w:rsidP="009853D9">
      <w:r w:rsidRPr="009972C5">
        <w:t xml:space="preserve">The realities of trying to capture broad scale, useable but affordable monitoring information for key resources is leading </w:t>
      </w:r>
      <w:r>
        <w:t xml:space="preserve">some government </w:t>
      </w:r>
      <w:r w:rsidRPr="009972C5">
        <w:t xml:space="preserve">agencies to explore novel approaches for data collection.  </w:t>
      </w:r>
      <w:r>
        <w:t xml:space="preserve">For </w:t>
      </w:r>
      <w:r>
        <w:lastRenderedPageBreak/>
        <w:t>example the US Forest Service (USFS) is currently putting significant efforts into the monitoring of key aquatic values through</w:t>
      </w:r>
      <w:r w:rsidRPr="009972C5">
        <w:t xml:space="preserve"> crowd-sourcing and citizen science collaborations</w:t>
      </w:r>
      <w:r>
        <w:t xml:space="preserve"> (Newman et al. 2012) as</w:t>
      </w:r>
      <w:r w:rsidRPr="009972C5">
        <w:t xml:space="preserve"> many important types of data can now be collected inexpensively using standard protocols</w:t>
      </w:r>
      <w:r>
        <w:t>. Some recent examples of this include USFS monitoring programs to build up and improve broad datasets for stream temperatures and fish species distribution across the entire US Pacific Northwest</w:t>
      </w:r>
      <w:r w:rsidR="00E26C7B">
        <w:t xml:space="preserve"> (see references below).</w:t>
      </w:r>
      <w:r>
        <w:t xml:space="preserve"> However, even with </w:t>
      </w:r>
      <w:r w:rsidR="00E26C7B">
        <w:t xml:space="preserve">the </w:t>
      </w:r>
      <w:r>
        <w:t>cost reductions that may be possible with incorporation of citizen science into such large monitoring programs</w:t>
      </w:r>
      <w:r w:rsidR="00E26C7B">
        <w:t>, there are need still remains</w:t>
      </w:r>
      <w:r>
        <w:t xml:space="preserve"> for significant and long term agency staff commitments around organizing viable projects, developing protocols, QA/QC of collected data, developing</w:t>
      </w:r>
      <w:r w:rsidR="00223E57">
        <w:t xml:space="preserve"> the</w:t>
      </w:r>
      <w:r>
        <w:t xml:space="preserve"> supporting database infrastructures, outreach materials, etc.</w:t>
      </w:r>
    </w:p>
    <w:p w:rsidR="00E26C7B" w:rsidRDefault="009A2F4F" w:rsidP="009853D9">
      <w:r>
        <w:t xml:space="preserve">The scale of the FREP monitoring program is not completely unique, but comparable programs are not entirely common either. Such programs are complex, difficult to develop and implement, and expensive to operate. </w:t>
      </w:r>
      <w:r w:rsidR="00E26C7B">
        <w:t>To have developed and implemented a broad, multi-value, multi-question</w:t>
      </w:r>
      <w:r>
        <w:t>, multi-region</w:t>
      </w:r>
      <w:r w:rsidR="00E26C7B">
        <w:t xml:space="preserve"> monitoring program and maintained it for a decade is </w:t>
      </w:r>
      <w:r w:rsidR="00223E57">
        <w:t xml:space="preserve">a </w:t>
      </w:r>
      <w:r>
        <w:t>commendable achievement.</w:t>
      </w:r>
    </w:p>
    <w:p w:rsidR="00884D89" w:rsidRPr="009853D9" w:rsidRDefault="00884D89" w:rsidP="0075336C">
      <w:pPr>
        <w:pStyle w:val="SubHead1"/>
      </w:pPr>
      <w:r w:rsidRPr="009853D9">
        <w:t>References</w:t>
      </w:r>
    </w:p>
    <w:p w:rsidR="00884D89" w:rsidRPr="0075336C" w:rsidRDefault="00884D89" w:rsidP="0075336C">
      <w:pPr>
        <w:spacing w:after="120"/>
        <w:ind w:left="187" w:hanging="187"/>
        <w:rPr>
          <w:sz w:val="18"/>
        </w:rPr>
      </w:pPr>
      <w:r w:rsidRPr="0075336C">
        <w:rPr>
          <w:sz w:val="18"/>
        </w:rPr>
        <w:t>Newman G</w:t>
      </w:r>
      <w:proofErr w:type="gramStart"/>
      <w:r w:rsidRPr="0075336C">
        <w:rPr>
          <w:sz w:val="18"/>
        </w:rPr>
        <w:t>. ,</w:t>
      </w:r>
      <w:proofErr w:type="gramEnd"/>
      <w:r w:rsidRPr="0075336C">
        <w:rPr>
          <w:sz w:val="18"/>
        </w:rPr>
        <w:t xml:space="preserve"> A. Wiggins, A. </w:t>
      </w:r>
      <w:proofErr w:type="spellStart"/>
      <w:r w:rsidRPr="0075336C">
        <w:rPr>
          <w:sz w:val="18"/>
        </w:rPr>
        <w:t>Crall</w:t>
      </w:r>
      <w:proofErr w:type="spellEnd"/>
      <w:r w:rsidRPr="0075336C">
        <w:rPr>
          <w:sz w:val="18"/>
        </w:rPr>
        <w:t xml:space="preserve">, E. Graham, S. Newman, and K. </w:t>
      </w:r>
      <w:proofErr w:type="spellStart"/>
      <w:r w:rsidRPr="0075336C">
        <w:rPr>
          <w:sz w:val="18"/>
        </w:rPr>
        <w:t>Crowston</w:t>
      </w:r>
      <w:proofErr w:type="spellEnd"/>
      <w:r w:rsidRPr="0075336C">
        <w:rPr>
          <w:sz w:val="18"/>
        </w:rPr>
        <w:t xml:space="preserve">. 2012. The future of citizen science: emerging technologies and shifting paradigms. Front. Ecol. Environ 2012; 10(6): 298-304. </w:t>
      </w:r>
      <w:hyperlink r:id="rId20" w:history="1">
        <w:r w:rsidRPr="0075336C">
          <w:rPr>
            <w:rStyle w:val="Hyperlink"/>
            <w:sz w:val="18"/>
          </w:rPr>
          <w:t>http://monitoringmatters.org/articles/Newman.pdf</w:t>
        </w:r>
      </w:hyperlink>
    </w:p>
    <w:p w:rsidR="00884D89" w:rsidRPr="0075336C" w:rsidRDefault="00884D89" w:rsidP="0075336C">
      <w:pPr>
        <w:spacing w:after="120"/>
        <w:ind w:left="187" w:hanging="187"/>
        <w:rPr>
          <w:sz w:val="18"/>
        </w:rPr>
      </w:pPr>
      <w:r w:rsidRPr="0075336C">
        <w:rPr>
          <w:color w:val="000000"/>
          <w:sz w:val="18"/>
        </w:rPr>
        <w:t>US EPA’s Environmental Monitoring and Assessment Program (EMAP)</w:t>
      </w:r>
      <w:r w:rsidR="00E26C7B" w:rsidRPr="0075336C">
        <w:rPr>
          <w:color w:val="000000"/>
          <w:sz w:val="18"/>
        </w:rPr>
        <w:t>:</w:t>
      </w:r>
      <w:r w:rsidR="00E26C7B" w:rsidRPr="0075336C">
        <w:rPr>
          <w:sz w:val="18"/>
        </w:rPr>
        <w:br/>
      </w:r>
      <w:hyperlink r:id="rId21" w:history="1">
        <w:r w:rsidRPr="0075336C">
          <w:rPr>
            <w:rStyle w:val="Hyperlink"/>
            <w:sz w:val="18"/>
          </w:rPr>
          <w:t>http://archive.epa.gov/emap/archive-emap/web/html/index.html</w:t>
        </w:r>
      </w:hyperlink>
    </w:p>
    <w:p w:rsidR="00E26C7B" w:rsidRPr="0075336C" w:rsidRDefault="00E26C7B" w:rsidP="0075336C">
      <w:pPr>
        <w:spacing w:after="120"/>
        <w:ind w:left="187" w:hanging="187"/>
        <w:rPr>
          <w:sz w:val="18"/>
        </w:rPr>
      </w:pPr>
      <w:r w:rsidRPr="0075336C">
        <w:rPr>
          <w:sz w:val="18"/>
        </w:rPr>
        <w:t>USFS examples of using citizen science in monitoring programs</w:t>
      </w:r>
      <w:proofErr w:type="gramStart"/>
      <w:r w:rsidRPr="0075336C">
        <w:rPr>
          <w:sz w:val="18"/>
        </w:rPr>
        <w:t>:</w:t>
      </w:r>
      <w:proofErr w:type="gramEnd"/>
      <w:r w:rsidRPr="0075336C">
        <w:rPr>
          <w:sz w:val="18"/>
        </w:rPr>
        <w:br/>
      </w:r>
      <w:hyperlink r:id="rId22" w:history="1">
        <w:r w:rsidRPr="0075336C">
          <w:rPr>
            <w:rStyle w:val="Hyperlink"/>
            <w:sz w:val="18"/>
          </w:rPr>
          <w:t>http://www.fs.fed.us/rm/boise/AWAE/projects/NorWeST.html</w:t>
        </w:r>
      </w:hyperlink>
      <w:r w:rsidRPr="0075336C">
        <w:rPr>
          <w:sz w:val="18"/>
        </w:rPr>
        <w:t xml:space="preserve">; </w:t>
      </w:r>
      <w:hyperlink r:id="rId23" w:history="1">
        <w:r w:rsidRPr="0075336C">
          <w:rPr>
            <w:rStyle w:val="Hyperlink"/>
            <w:sz w:val="18"/>
          </w:rPr>
          <w:t>http://www.fs.fed.us/rm/boise/AWAE/projects/ClimateShield.html</w:t>
        </w:r>
      </w:hyperlink>
    </w:p>
    <w:p w:rsidR="00E124AC" w:rsidRDefault="00E124AC" w:rsidP="000B519A"/>
    <w:p w:rsidR="00E124AC" w:rsidRDefault="00E124AC" w:rsidP="000B519A">
      <w:pPr>
        <w:sectPr w:rsidR="00E124AC" w:rsidSect="00A8495B">
          <w:headerReference w:type="default" r:id="rId24"/>
          <w:footerReference w:type="default" r:id="rId25"/>
          <w:pgSz w:w="12240" w:h="15840"/>
          <w:pgMar w:top="1440" w:right="1440" w:bottom="1440" w:left="1440" w:header="720" w:footer="720" w:gutter="0"/>
          <w:cols w:space="720"/>
          <w:docGrid w:linePitch="360"/>
        </w:sectPr>
      </w:pPr>
    </w:p>
    <w:p w:rsidR="00E124AC" w:rsidRDefault="009D13B3" w:rsidP="009D13B3">
      <w:pPr>
        <w:pStyle w:val="Heading2"/>
        <w:numPr>
          <w:ilvl w:val="0"/>
          <w:numId w:val="0"/>
        </w:numPr>
        <w:ind w:left="576" w:hanging="576"/>
      </w:pPr>
      <w:bookmarkStart w:id="47" w:name="_Toc439784482"/>
      <w:bookmarkStart w:id="48" w:name="_Ref439869259"/>
      <w:bookmarkStart w:id="49" w:name="_Toc442204983"/>
      <w:r>
        <w:lastRenderedPageBreak/>
        <w:t xml:space="preserve">Appendix 3: </w:t>
      </w:r>
      <w:r w:rsidR="00EA001C">
        <w:t>E</w:t>
      </w:r>
      <w:r w:rsidR="00E124AC">
        <w:t xml:space="preserve">xamples of the </w:t>
      </w:r>
      <w:r w:rsidR="0031312F">
        <w:t xml:space="preserve">Allocation </w:t>
      </w:r>
      <w:r w:rsidR="00E124AC">
        <w:t xml:space="preserve">of </w:t>
      </w:r>
      <w:r w:rsidR="0031312F">
        <w:t>Annual Samples</w:t>
      </w:r>
      <w:bookmarkEnd w:id="47"/>
      <w:bookmarkEnd w:id="48"/>
      <w:bookmarkEnd w:id="49"/>
    </w:p>
    <w:p w:rsidR="00102831" w:rsidRDefault="00102831" w:rsidP="00102831">
      <w:r>
        <w:t>This appendix shows some examples of using the prospective planning tool to determine the allocation of annual samples in order to meet the minimum requirements for the core sampling design. The tool also indicates the number of surplus samples available for district-specific priorities, assuming a set number of annual samples (i.e., a fixed budget).</w:t>
      </w:r>
      <w:r w:rsidR="00EA001C">
        <w:t xml:space="preserve">  The figures show how the tool (and thus the approach) works in different situations and demonstrates some of the flexibility in </w:t>
      </w:r>
      <w:r w:rsidR="00070C4A">
        <w:t>requirements for the allocation of annual samples.</w:t>
      </w:r>
    </w:p>
    <w:p w:rsidR="00EA001C" w:rsidRDefault="00EA001C" w:rsidP="00102831">
      <w:r>
        <w:t xml:space="preserve">Below is a guide to the components of </w:t>
      </w:r>
      <w:r w:rsidR="00070C4A">
        <w:t>the figures from the planning tool.</w:t>
      </w:r>
    </w:p>
    <w:tbl>
      <w:tblPr>
        <w:tblStyle w:val="TableGrid"/>
        <w:tblW w:w="0" w:type="auto"/>
        <w:tblLook w:val="04A0" w:firstRow="1" w:lastRow="0" w:firstColumn="1" w:lastColumn="0" w:noHBand="0" w:noVBand="1"/>
      </w:tblPr>
      <w:tblGrid>
        <w:gridCol w:w="828"/>
        <w:gridCol w:w="12348"/>
      </w:tblGrid>
      <w:tr w:rsidR="00EA001C" w:rsidTr="00574E01">
        <w:tc>
          <w:tcPr>
            <w:tcW w:w="828" w:type="dxa"/>
          </w:tcPr>
          <w:p w:rsidR="00EA001C" w:rsidRDefault="00EA001C" w:rsidP="00574E01">
            <w:pPr>
              <w:spacing w:before="120" w:after="120"/>
              <w:jc w:val="center"/>
            </w:pPr>
            <w:r>
              <w:rPr>
                <w:noProof/>
              </w:rPr>
              <w:drawing>
                <wp:inline distT="0" distB="0" distL="0" distR="0">
                  <wp:extent cx="283464" cy="32918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3464" cy="329184"/>
                          </a:xfrm>
                          <a:prstGeom prst="rect">
                            <a:avLst/>
                          </a:prstGeom>
                          <a:noFill/>
                        </pic:spPr>
                      </pic:pic>
                    </a:graphicData>
                  </a:graphic>
                </wp:inline>
              </w:drawing>
            </w:r>
          </w:p>
        </w:tc>
        <w:tc>
          <w:tcPr>
            <w:tcW w:w="12348" w:type="dxa"/>
          </w:tcPr>
          <w:p w:rsidR="00EA001C" w:rsidRDefault="00070C4A" w:rsidP="00574E01">
            <w:pPr>
              <w:spacing w:before="120" w:after="120"/>
            </w:pPr>
            <w:r>
              <w:t xml:space="preserve">The top row shows what district is being used and identifies key parameters. It reminds the user/viewer that the rolling window is 5 years, the minimum samples per value within the rolling window is 30, and the total </w:t>
            </w:r>
            <w:r w:rsidR="006312B3">
              <w:t>budget</w:t>
            </w:r>
            <w:r>
              <w:t xml:space="preserve"> of annual samples is set at 50.</w:t>
            </w:r>
          </w:p>
        </w:tc>
      </w:tr>
      <w:tr w:rsidR="00EA001C" w:rsidTr="00574E01">
        <w:tc>
          <w:tcPr>
            <w:tcW w:w="828" w:type="dxa"/>
          </w:tcPr>
          <w:p w:rsidR="00EA001C" w:rsidRDefault="00EA001C" w:rsidP="00574E01">
            <w:pPr>
              <w:spacing w:before="120" w:after="120"/>
              <w:jc w:val="center"/>
            </w:pPr>
            <w:r>
              <w:rPr>
                <w:noProof/>
              </w:rPr>
              <w:drawing>
                <wp:inline distT="0" distB="0" distL="0" distR="0">
                  <wp:extent cx="283464" cy="32918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3464" cy="329184"/>
                          </a:xfrm>
                          <a:prstGeom prst="rect">
                            <a:avLst/>
                          </a:prstGeom>
                          <a:noFill/>
                        </pic:spPr>
                      </pic:pic>
                    </a:graphicData>
                  </a:graphic>
                </wp:inline>
              </w:drawing>
            </w:r>
          </w:p>
        </w:tc>
        <w:tc>
          <w:tcPr>
            <w:tcW w:w="12348" w:type="dxa"/>
          </w:tcPr>
          <w:p w:rsidR="00EA001C" w:rsidRDefault="00070C4A" w:rsidP="00574E01">
            <w:pPr>
              <w:spacing w:before="120" w:after="120"/>
            </w:pPr>
            <w:r>
              <w:t>The left side of the table shows the existing sampling record, by value and year.</w:t>
            </w:r>
          </w:p>
        </w:tc>
      </w:tr>
      <w:tr w:rsidR="00EA001C" w:rsidTr="00574E01">
        <w:tc>
          <w:tcPr>
            <w:tcW w:w="828" w:type="dxa"/>
          </w:tcPr>
          <w:p w:rsidR="00EA001C" w:rsidRDefault="00EA001C" w:rsidP="00574E01">
            <w:pPr>
              <w:spacing w:before="120" w:after="120"/>
              <w:jc w:val="center"/>
            </w:pPr>
            <w:r>
              <w:rPr>
                <w:noProof/>
              </w:rPr>
              <w:drawing>
                <wp:inline distT="0" distB="0" distL="0" distR="0">
                  <wp:extent cx="283464" cy="32918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464" cy="329184"/>
                          </a:xfrm>
                          <a:prstGeom prst="rect">
                            <a:avLst/>
                          </a:prstGeom>
                          <a:noFill/>
                        </pic:spPr>
                      </pic:pic>
                    </a:graphicData>
                  </a:graphic>
                </wp:inline>
              </w:drawing>
            </w:r>
          </w:p>
        </w:tc>
        <w:tc>
          <w:tcPr>
            <w:tcW w:w="12348" w:type="dxa"/>
          </w:tcPr>
          <w:p w:rsidR="00EA001C" w:rsidRDefault="00070C4A" w:rsidP="00574E01">
            <w:pPr>
              <w:spacing w:before="120" w:after="120"/>
            </w:pPr>
            <w:r>
              <w:t>The right side of the table is where the prospective sampling plan for future years is entered. The current configuration shows a 10-yr forward-looking planning window.</w:t>
            </w:r>
          </w:p>
        </w:tc>
      </w:tr>
      <w:tr w:rsidR="00EA001C" w:rsidTr="00574E01">
        <w:tc>
          <w:tcPr>
            <w:tcW w:w="828" w:type="dxa"/>
          </w:tcPr>
          <w:p w:rsidR="00EA001C" w:rsidRDefault="00EA001C" w:rsidP="00574E01">
            <w:pPr>
              <w:spacing w:before="120" w:after="120"/>
              <w:jc w:val="center"/>
            </w:pPr>
            <w:r>
              <w:rPr>
                <w:noProof/>
              </w:rPr>
              <w:drawing>
                <wp:inline distT="0" distB="0" distL="0" distR="0">
                  <wp:extent cx="283464" cy="32918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464" cy="329184"/>
                          </a:xfrm>
                          <a:prstGeom prst="rect">
                            <a:avLst/>
                          </a:prstGeom>
                          <a:noFill/>
                        </pic:spPr>
                      </pic:pic>
                    </a:graphicData>
                  </a:graphic>
                </wp:inline>
              </w:drawing>
            </w:r>
          </w:p>
        </w:tc>
        <w:tc>
          <w:tcPr>
            <w:tcW w:w="12348" w:type="dxa"/>
          </w:tcPr>
          <w:p w:rsidR="00EA001C" w:rsidRDefault="00070C4A" w:rsidP="00574E01">
            <w:pPr>
              <w:spacing w:before="120" w:after="120"/>
            </w:pPr>
            <w:r>
              <w:t xml:space="preserve">The cumulative performance record evaluates whether the proposed sampling plan will meet the requirements. For each year in the planning window, </w:t>
            </w:r>
            <w:r w:rsidR="006312B3">
              <w:t>the</w:t>
            </w:r>
            <w:r>
              <w:t xml:space="preserve"> </w:t>
            </w:r>
            <w:proofErr w:type="gramStart"/>
            <w:r>
              <w:t>number of samples per value within the rolling window</w:t>
            </w:r>
            <w:r w:rsidR="006312B3">
              <w:t xml:space="preserve"> are</w:t>
            </w:r>
            <w:proofErr w:type="gramEnd"/>
            <w:r w:rsidR="006312B3">
              <w:t xml:space="preserve"> summed</w:t>
            </w:r>
            <w:r>
              <w:t xml:space="preserve">. </w:t>
            </w:r>
            <w:r w:rsidR="006312B3">
              <w:t>T</w:t>
            </w:r>
            <w:r>
              <w:t>he rolling window is based on that year’s sampling plus the previous four years. Values that are not meeting the minimum are highlighted in red.</w:t>
            </w:r>
          </w:p>
        </w:tc>
      </w:tr>
      <w:tr w:rsidR="00EA001C" w:rsidTr="00574E01">
        <w:tc>
          <w:tcPr>
            <w:tcW w:w="828" w:type="dxa"/>
          </w:tcPr>
          <w:p w:rsidR="00EA001C" w:rsidRDefault="00EA001C" w:rsidP="00574E01">
            <w:pPr>
              <w:spacing w:before="120" w:after="120"/>
              <w:jc w:val="center"/>
            </w:pPr>
            <w:r>
              <w:rPr>
                <w:noProof/>
              </w:rPr>
              <w:drawing>
                <wp:inline distT="0" distB="0" distL="0" distR="0">
                  <wp:extent cx="283464" cy="32918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3464" cy="329184"/>
                          </a:xfrm>
                          <a:prstGeom prst="rect">
                            <a:avLst/>
                          </a:prstGeom>
                          <a:noFill/>
                        </pic:spPr>
                      </pic:pic>
                    </a:graphicData>
                  </a:graphic>
                </wp:inline>
              </w:drawing>
            </w:r>
          </w:p>
        </w:tc>
        <w:tc>
          <w:tcPr>
            <w:tcW w:w="12348" w:type="dxa"/>
          </w:tcPr>
          <w:p w:rsidR="00EA001C" w:rsidRDefault="00070C4A" w:rsidP="00574E01">
            <w:pPr>
              <w:spacing w:before="120" w:after="120"/>
            </w:pPr>
            <w:r>
              <w:t xml:space="preserve">The bottom two rows provide a summary across values for each future year based on </w:t>
            </w:r>
            <w:r w:rsidR="006312B3">
              <w:t>the sampling plan and the requirements. “Min Achieved” gives a pass/fail indicator on whether the minimum requirements will be met across all values in that year. “Priority Samples” indicates how many samples will be available to direct toward district-specific priorities. The number of priority samples available is the difference between the annual total budget and the total allocated to achieving the core design, but only applies if the minimums are met across all values. “TOT” shows the total number of priority samples available over the future planning window.</w:t>
            </w:r>
          </w:p>
        </w:tc>
      </w:tr>
    </w:tbl>
    <w:p w:rsidR="00EA001C" w:rsidRDefault="00EA001C" w:rsidP="00102831"/>
    <w:p w:rsidR="00102831" w:rsidRDefault="00EA001C" w:rsidP="00102831">
      <w:r>
        <w:rPr>
          <w:noProof/>
        </w:rPr>
        <w:lastRenderedPageBreak/>
        <w:drawing>
          <wp:inline distT="0" distB="0" distL="0" distR="0">
            <wp:extent cx="6877050" cy="218884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77050" cy="2188845"/>
                    </a:xfrm>
                    <a:prstGeom prst="rect">
                      <a:avLst/>
                    </a:prstGeom>
                    <a:noFill/>
                  </pic:spPr>
                </pic:pic>
              </a:graphicData>
            </a:graphic>
          </wp:inline>
        </w:drawing>
      </w:r>
    </w:p>
    <w:p w:rsidR="00D82A5C" w:rsidRDefault="00EA001C" w:rsidP="00102831">
      <w:r>
        <w:rPr>
          <w:noProof/>
        </w:rPr>
        <w:drawing>
          <wp:inline distT="0" distB="0" distL="0" distR="0">
            <wp:extent cx="4523740" cy="230441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23740" cy="2304415"/>
                    </a:xfrm>
                    <a:prstGeom prst="rect">
                      <a:avLst/>
                    </a:prstGeom>
                    <a:noFill/>
                  </pic:spPr>
                </pic:pic>
              </a:graphicData>
            </a:graphic>
          </wp:inline>
        </w:drawing>
      </w:r>
    </w:p>
    <w:p w:rsidR="00D82A5C" w:rsidRDefault="00D82A5C">
      <w:r>
        <w:br w:type="page"/>
      </w:r>
    </w:p>
    <w:p w:rsidR="00E124AC" w:rsidRDefault="00E124AC" w:rsidP="009D13B3">
      <w:pPr>
        <w:pStyle w:val="Heading3"/>
        <w:numPr>
          <w:ilvl w:val="0"/>
          <w:numId w:val="0"/>
        </w:numPr>
        <w:ind w:left="720" w:hanging="720"/>
      </w:pPr>
      <w:bookmarkStart w:id="50" w:name="_Toc439784483"/>
      <w:bookmarkStart w:id="51" w:name="_Toc442204984"/>
      <w:r>
        <w:lastRenderedPageBreak/>
        <w:t>Districts with high versus low recent sampling</w:t>
      </w:r>
      <w:bookmarkEnd w:id="50"/>
      <w:bookmarkEnd w:id="51"/>
    </w:p>
    <w:p w:rsidR="009F2E4F" w:rsidRDefault="00E8260C" w:rsidP="002A5D85">
      <w:pPr>
        <w:pStyle w:val="SubHead1"/>
      </w:pPr>
      <w:r>
        <w:t>Example district with high recent sampling</w:t>
      </w:r>
    </w:p>
    <w:p w:rsidR="009F2E4F" w:rsidRDefault="00E8260C" w:rsidP="00E8260C">
      <w:r w:rsidRPr="00E8260C">
        <w:rPr>
          <w:noProof/>
        </w:rPr>
        <w:drawing>
          <wp:inline distT="0" distB="0" distL="0" distR="0">
            <wp:extent cx="8229600" cy="17621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229600" cy="1762195"/>
                    </a:xfrm>
                    <a:prstGeom prst="rect">
                      <a:avLst/>
                    </a:prstGeom>
                    <a:noFill/>
                    <a:ln>
                      <a:noFill/>
                    </a:ln>
                  </pic:spPr>
                </pic:pic>
              </a:graphicData>
            </a:graphic>
          </wp:inline>
        </w:drawing>
      </w:r>
    </w:p>
    <w:p w:rsidR="00E8260C" w:rsidRDefault="00E8260C" w:rsidP="002A5D85">
      <w:pPr>
        <w:pStyle w:val="SubHead1"/>
      </w:pPr>
      <w:r>
        <w:t>Example district with low recent sampling</w:t>
      </w:r>
    </w:p>
    <w:p w:rsidR="00E124AC" w:rsidRDefault="00E8260C" w:rsidP="00E8260C">
      <w:r w:rsidRPr="00E8260C">
        <w:rPr>
          <w:noProof/>
        </w:rPr>
        <w:drawing>
          <wp:inline distT="0" distB="0" distL="0" distR="0">
            <wp:extent cx="8229600" cy="17674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229600" cy="1767424"/>
                    </a:xfrm>
                    <a:prstGeom prst="rect">
                      <a:avLst/>
                    </a:prstGeom>
                    <a:noFill/>
                    <a:ln>
                      <a:noFill/>
                    </a:ln>
                  </pic:spPr>
                </pic:pic>
              </a:graphicData>
            </a:graphic>
          </wp:inline>
        </w:drawing>
      </w:r>
    </w:p>
    <w:p w:rsidR="00D82A5C" w:rsidRDefault="00D82A5C">
      <w:r>
        <w:br w:type="page"/>
      </w:r>
    </w:p>
    <w:p w:rsidR="00E124AC" w:rsidRDefault="00E124AC" w:rsidP="009D13B3">
      <w:pPr>
        <w:pStyle w:val="Heading3"/>
        <w:numPr>
          <w:ilvl w:val="0"/>
          <w:numId w:val="0"/>
        </w:numPr>
        <w:ind w:left="720" w:hanging="720"/>
      </w:pPr>
      <w:bookmarkStart w:id="52" w:name="_Toc439784484"/>
      <w:bookmarkStart w:id="53" w:name="_Toc442204985"/>
      <w:r>
        <w:lastRenderedPageBreak/>
        <w:t>Alternate allocations of sampling effort for a single district</w:t>
      </w:r>
      <w:bookmarkEnd w:id="52"/>
      <w:bookmarkEnd w:id="53"/>
    </w:p>
    <w:p w:rsidR="008B46D2" w:rsidRDefault="008B46D2" w:rsidP="008B46D2">
      <w:r>
        <w:t>The following examples show alternate ways of allocating the sampling effort for the same district. Some of the pros and cons of each plan are briefly highlighted. This district is required to sample the karst value, so the annual sampling budget is increased to 56</w:t>
      </w:r>
      <w:r w:rsidR="00223E57">
        <w:t xml:space="preserve"> (i.e., to account for the additional 30 samples</w:t>
      </w:r>
      <w:r w:rsidR="006C3D45">
        <w:t xml:space="preserve"> over 5 years required for an additional value)</w:t>
      </w:r>
      <w:r>
        <w:t>.</w:t>
      </w:r>
      <w:r w:rsidR="00750FD5">
        <w:t xml:space="preserve"> These are examples of proactive planning in that the plan has been based on looking at the impacts of the plan through time and aiming for achieving a particular pattern. In these examples, a similar pattern is applied to all values, but in practice different patterns could be used for different values.</w:t>
      </w:r>
    </w:p>
    <w:p w:rsidR="008B46D2" w:rsidRDefault="008B46D2" w:rsidP="002A5D85">
      <w:pPr>
        <w:pStyle w:val="SubHead1"/>
      </w:pPr>
      <w:r>
        <w:t>Evenly distributed effort</w:t>
      </w:r>
    </w:p>
    <w:p w:rsidR="00E124AC" w:rsidRDefault="00DE4230" w:rsidP="00DE4230">
      <w:r w:rsidRPr="00DE4230">
        <w:rPr>
          <w:noProof/>
        </w:rPr>
        <w:drawing>
          <wp:inline distT="0" distB="0" distL="0" distR="0">
            <wp:extent cx="8229600" cy="18900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229600" cy="1890070"/>
                    </a:xfrm>
                    <a:prstGeom prst="rect">
                      <a:avLst/>
                    </a:prstGeom>
                    <a:noFill/>
                    <a:ln>
                      <a:noFill/>
                    </a:ln>
                  </pic:spPr>
                </pic:pic>
              </a:graphicData>
            </a:graphic>
          </wp:inline>
        </w:drawing>
      </w:r>
    </w:p>
    <w:p w:rsidR="008B46D2" w:rsidRDefault="008B46D2" w:rsidP="002A5D85">
      <w:pPr>
        <w:pStyle w:val="SubHead1"/>
      </w:pPr>
      <w:r>
        <w:lastRenderedPageBreak/>
        <w:t>Staggered</w:t>
      </w:r>
      <w:r w:rsidR="00DE4230">
        <w:t xml:space="preserve"> effort with variable intensity</w:t>
      </w:r>
      <w:r w:rsidR="00186DDF">
        <w:t xml:space="preserve"> </w:t>
      </w:r>
    </w:p>
    <w:p w:rsidR="008B46D2" w:rsidRDefault="00186DDF" w:rsidP="00D82A5C">
      <w:pPr>
        <w:keepNext/>
      </w:pPr>
      <w:r>
        <w:t>Each value is sample</w:t>
      </w:r>
      <w:r w:rsidR="006C3D45">
        <w:t>d</w:t>
      </w:r>
      <w:r>
        <w:t xml:space="preserve"> 3 out of 5 years with 5, 10, or 15 samples per year. There is the potential for gaining some training efficiency from skipping some years and concentrating more sampling in fewer years. The tradeoff is </w:t>
      </w:r>
      <w:r w:rsidR="00750FD5">
        <w:t xml:space="preserve">that </w:t>
      </w:r>
      <w:r>
        <w:t xml:space="preserve">the total </w:t>
      </w:r>
      <w:proofErr w:type="gramStart"/>
      <w:r>
        <w:t>samples per year is</w:t>
      </w:r>
      <w:proofErr w:type="gramEnd"/>
      <w:r>
        <w:t xml:space="preserve"> more variable and thus the priority samples available would be less consistent</w:t>
      </w:r>
      <w:r w:rsidR="006C3D45">
        <w:t xml:space="preserve"> (based on the assumption of a fixed annual budget for the total number of samples)</w:t>
      </w:r>
      <w:r>
        <w:t>.</w:t>
      </w:r>
    </w:p>
    <w:p w:rsidR="00186DDF" w:rsidRDefault="00DE4230" w:rsidP="00DE4230">
      <w:r w:rsidRPr="00DE4230">
        <w:rPr>
          <w:noProof/>
        </w:rPr>
        <w:drawing>
          <wp:inline distT="0" distB="0" distL="0" distR="0">
            <wp:extent cx="8229600" cy="188484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229600" cy="1884841"/>
                    </a:xfrm>
                    <a:prstGeom prst="rect">
                      <a:avLst/>
                    </a:prstGeom>
                    <a:noFill/>
                    <a:ln>
                      <a:noFill/>
                    </a:ln>
                  </pic:spPr>
                </pic:pic>
              </a:graphicData>
            </a:graphic>
          </wp:inline>
        </w:drawing>
      </w:r>
    </w:p>
    <w:p w:rsidR="00186DDF" w:rsidRDefault="00186DDF" w:rsidP="002A5D85">
      <w:pPr>
        <w:pStyle w:val="SubHead1"/>
      </w:pPr>
      <w:r>
        <w:t>Staggered</w:t>
      </w:r>
      <w:r w:rsidR="00DE4230">
        <w:t xml:space="preserve"> effort with 10 samples</w:t>
      </w:r>
    </w:p>
    <w:p w:rsidR="008B46D2" w:rsidRDefault="00186DDF" w:rsidP="00DE4230">
      <w:r>
        <w:t>Each value is sampled 3 out of 5 years, aiming always for 10 samples per year. This pattern is similar to the previous but simpler and with less variability in annual totals (and therefore priority samples available).</w:t>
      </w:r>
    </w:p>
    <w:p w:rsidR="00DE4230" w:rsidRDefault="00DE4230" w:rsidP="00DE4230">
      <w:r w:rsidRPr="00DE4230">
        <w:rPr>
          <w:noProof/>
        </w:rPr>
        <w:drawing>
          <wp:inline distT="0" distB="0" distL="0" distR="0">
            <wp:extent cx="8229600" cy="188484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229600" cy="1884841"/>
                    </a:xfrm>
                    <a:prstGeom prst="rect">
                      <a:avLst/>
                    </a:prstGeom>
                    <a:noFill/>
                    <a:ln>
                      <a:noFill/>
                    </a:ln>
                  </pic:spPr>
                </pic:pic>
              </a:graphicData>
            </a:graphic>
          </wp:inline>
        </w:drawing>
      </w:r>
    </w:p>
    <w:p w:rsidR="008B46D2" w:rsidRDefault="00DE4230" w:rsidP="002A5D85">
      <w:pPr>
        <w:pStyle w:val="SubHead1"/>
      </w:pPr>
      <w:r>
        <w:lastRenderedPageBreak/>
        <w:t>Staggered e</w:t>
      </w:r>
      <w:r w:rsidR="00186DDF">
        <w:t xml:space="preserve">ffort </w:t>
      </w:r>
      <w:r>
        <w:t>with 15 samples</w:t>
      </w:r>
    </w:p>
    <w:p w:rsidR="00750FD5" w:rsidRDefault="00750FD5" w:rsidP="00DE4230">
      <w:r>
        <w:t xml:space="preserve">Each value is sampled 2 out of 5 years, aiming always for 15 samples per year. This pattern focuses the same total effort into fewer years, which could have training benefits for some values. The tradeoffs of this pattern are that the effort occasionally exceeds the annual budget and often </w:t>
      </w:r>
      <w:r w:rsidR="006C3D45">
        <w:t xml:space="preserve">exhibits </w:t>
      </w:r>
      <w:r>
        <w:t>very large differences between years.</w:t>
      </w:r>
    </w:p>
    <w:p w:rsidR="00D82A5C" w:rsidRDefault="00DE4230" w:rsidP="00DE4230">
      <w:r w:rsidRPr="00DE4230">
        <w:rPr>
          <w:noProof/>
        </w:rPr>
        <w:drawing>
          <wp:inline distT="0" distB="0" distL="0" distR="0">
            <wp:extent cx="8229600" cy="18900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229600" cy="1890070"/>
                    </a:xfrm>
                    <a:prstGeom prst="rect">
                      <a:avLst/>
                    </a:prstGeom>
                    <a:noFill/>
                    <a:ln>
                      <a:noFill/>
                    </a:ln>
                  </pic:spPr>
                </pic:pic>
              </a:graphicData>
            </a:graphic>
          </wp:inline>
        </w:drawing>
      </w:r>
    </w:p>
    <w:p w:rsidR="00D82A5C" w:rsidRDefault="00D82A5C">
      <w:r>
        <w:br w:type="page"/>
      </w:r>
    </w:p>
    <w:p w:rsidR="00E124AC" w:rsidRDefault="00E124AC" w:rsidP="009D13B3">
      <w:pPr>
        <w:pStyle w:val="Heading3"/>
        <w:numPr>
          <w:ilvl w:val="0"/>
          <w:numId w:val="0"/>
        </w:numPr>
        <w:ind w:left="720" w:hanging="720"/>
      </w:pPr>
      <w:bookmarkStart w:id="54" w:name="_Toc439784485"/>
      <w:bookmarkStart w:id="55" w:name="_Toc442204986"/>
      <w:r>
        <w:lastRenderedPageBreak/>
        <w:t>Example of reactive planning for the allocation of samples</w:t>
      </w:r>
      <w:bookmarkEnd w:id="54"/>
      <w:bookmarkEnd w:id="55"/>
    </w:p>
    <w:p w:rsidR="00FE4C41" w:rsidRDefault="00FE4C41" w:rsidP="00DE4230">
      <w:r>
        <w:t>In contrast to the “proactive planning” examples above, this example is the result of only ever looking at the current year and never looking further ahead in the planning window. Each year, samples are allocated based the values furthest below their minimums, allowing up to 20 samples per value, and never exceeding the minimums. The outcome is that the plan gets locked into an ad-hoc cycle based on the existing record with no intention</w:t>
      </w:r>
      <w:r w:rsidR="00DE4230">
        <w:t>al planning with respect to the pattern or frequency. Over time, this approach will result in the greatest number of priority samples, because the minimums are never exceeded, but those samples are highly concentrated in time.</w:t>
      </w:r>
    </w:p>
    <w:p w:rsidR="00E124AC" w:rsidRDefault="00DE4230" w:rsidP="00DE4230">
      <w:r>
        <w:t xml:space="preserve">This example </w:t>
      </w:r>
      <w:r w:rsidR="00750FD5">
        <w:t>uses the same district as the alternate examples of proactively planned allocation shown above</w:t>
      </w:r>
      <w:r>
        <w:t>.</w:t>
      </w:r>
    </w:p>
    <w:p w:rsidR="00E124AC" w:rsidRDefault="00DE4230" w:rsidP="00DE4230">
      <w:r w:rsidRPr="00DE4230">
        <w:rPr>
          <w:noProof/>
        </w:rPr>
        <w:drawing>
          <wp:inline distT="0" distB="0" distL="0" distR="0">
            <wp:extent cx="8229600" cy="189007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229600" cy="1890070"/>
                    </a:xfrm>
                    <a:prstGeom prst="rect">
                      <a:avLst/>
                    </a:prstGeom>
                    <a:noFill/>
                    <a:ln>
                      <a:noFill/>
                    </a:ln>
                  </pic:spPr>
                </pic:pic>
              </a:graphicData>
            </a:graphic>
          </wp:inline>
        </w:drawing>
      </w:r>
    </w:p>
    <w:sectPr w:rsidR="00E124AC" w:rsidSect="001E585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F1A" w:rsidRDefault="003A0F1A" w:rsidP="00272AED">
      <w:pPr>
        <w:spacing w:after="0" w:line="240" w:lineRule="auto"/>
      </w:pPr>
      <w:r>
        <w:separator/>
      </w:r>
    </w:p>
  </w:endnote>
  <w:endnote w:type="continuationSeparator" w:id="0">
    <w:p w:rsidR="003A0F1A" w:rsidRDefault="003A0F1A" w:rsidP="00272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MR10">
    <w:panose1 w:val="00000000000000000000"/>
    <w:charset w:val="00"/>
    <w:family w:val="auto"/>
    <w:notTrueType/>
    <w:pitch w:val="default"/>
    <w:sig w:usb0="00000003" w:usb1="00000000" w:usb2="00000000" w:usb3="00000000" w:csb0="00000001" w:csb1="00000000"/>
  </w:font>
  <w:font w:name="CMMI1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9735971"/>
      <w:docPartObj>
        <w:docPartGallery w:val="Page Numbers (Bottom of Page)"/>
        <w:docPartUnique/>
      </w:docPartObj>
    </w:sdtPr>
    <w:sdtEndPr>
      <w:rPr>
        <w:noProof/>
      </w:rPr>
    </w:sdtEndPr>
    <w:sdtContent>
      <w:p w:rsidR="00EB1272" w:rsidRDefault="00EB1272">
        <w:pPr>
          <w:pStyle w:val="Footer"/>
          <w:jc w:val="right"/>
        </w:pPr>
        <w:r>
          <w:fldChar w:fldCharType="begin"/>
        </w:r>
        <w:r>
          <w:instrText xml:space="preserve"> PAGE   \* MERGEFORMAT </w:instrText>
        </w:r>
        <w:r>
          <w:fldChar w:fldCharType="separate"/>
        </w:r>
        <w:r w:rsidR="00F27B05">
          <w:rPr>
            <w:noProof/>
          </w:rPr>
          <w:t>10</w:t>
        </w:r>
        <w:r>
          <w:rPr>
            <w:noProof/>
          </w:rPr>
          <w:fldChar w:fldCharType="end"/>
        </w:r>
      </w:p>
    </w:sdtContent>
  </w:sdt>
  <w:p w:rsidR="00EB1272" w:rsidRDefault="00EB12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F1A" w:rsidRDefault="003A0F1A" w:rsidP="00272AED">
      <w:pPr>
        <w:spacing w:after="0" w:line="240" w:lineRule="auto"/>
      </w:pPr>
      <w:r>
        <w:separator/>
      </w:r>
    </w:p>
  </w:footnote>
  <w:footnote w:type="continuationSeparator" w:id="0">
    <w:p w:rsidR="003A0F1A" w:rsidRDefault="003A0F1A" w:rsidP="00272AED">
      <w:pPr>
        <w:spacing w:after="0" w:line="240" w:lineRule="auto"/>
      </w:pPr>
      <w:r>
        <w:continuationSeparator/>
      </w:r>
    </w:p>
  </w:footnote>
  <w:footnote w:id="1">
    <w:p w:rsidR="00EB1272" w:rsidRPr="00F27B05" w:rsidRDefault="00EB1272" w:rsidP="00FF64ED">
      <w:pPr>
        <w:pStyle w:val="FootnoteText"/>
        <w:ind w:left="360" w:hanging="360"/>
        <w:rPr>
          <w:sz w:val="18"/>
          <w:szCs w:val="18"/>
        </w:rPr>
      </w:pPr>
      <w:r w:rsidRPr="00F27B05">
        <w:rPr>
          <w:rStyle w:val="FootnoteReference"/>
          <w:sz w:val="18"/>
          <w:szCs w:val="18"/>
        </w:rPr>
        <w:footnoteRef/>
      </w:r>
      <w:r w:rsidRPr="00F27B05">
        <w:rPr>
          <w:sz w:val="18"/>
          <w:szCs w:val="18"/>
        </w:rPr>
        <w:t xml:space="preserve"> See Appendix 1 for a brief summary of the FREP monitoring program. For further details, refer to </w:t>
      </w:r>
      <w:hyperlink r:id="rId1" w:history="1">
        <w:r w:rsidRPr="00F27B05">
          <w:rPr>
            <w:rStyle w:val="Hyperlink"/>
            <w:sz w:val="18"/>
            <w:szCs w:val="18"/>
          </w:rPr>
          <w:t>https://www.for.gov.bc.ca/hfp/frep/</w:t>
        </w:r>
      </w:hyperlink>
      <w:r w:rsidRPr="00F27B05">
        <w:rPr>
          <w:sz w:val="18"/>
          <w:szCs w:val="18"/>
        </w:rPr>
        <w:t xml:space="preserve"> .</w:t>
      </w:r>
    </w:p>
  </w:footnote>
  <w:footnote w:id="2">
    <w:p w:rsidR="00EB1272" w:rsidRPr="00F27B05" w:rsidRDefault="00EB1272" w:rsidP="00FF64ED">
      <w:pPr>
        <w:pStyle w:val="FootnoteText"/>
        <w:ind w:left="180" w:hanging="180"/>
        <w:rPr>
          <w:sz w:val="18"/>
        </w:rPr>
      </w:pPr>
      <w:r w:rsidRPr="00F27B05">
        <w:rPr>
          <w:rStyle w:val="FootnoteReference"/>
          <w:sz w:val="18"/>
        </w:rPr>
        <w:footnoteRef/>
      </w:r>
      <w:r w:rsidRPr="00F27B05">
        <w:rPr>
          <w:sz w:val="18"/>
        </w:rPr>
        <w:t xml:space="preserve"> The provincial FREP design is stratified by district. The timber value (i.e., stand development monitoring) is stratified by a combination of district and timber supply area (TSA).</w:t>
      </w:r>
    </w:p>
  </w:footnote>
  <w:footnote w:id="3">
    <w:p w:rsidR="00EB1272" w:rsidRPr="00F27B05" w:rsidRDefault="00EB1272">
      <w:pPr>
        <w:pStyle w:val="FootnoteText"/>
        <w:rPr>
          <w:sz w:val="18"/>
        </w:rPr>
      </w:pPr>
      <w:r w:rsidRPr="00F27B05">
        <w:rPr>
          <w:rStyle w:val="FootnoteReference"/>
          <w:sz w:val="18"/>
        </w:rPr>
        <w:footnoteRef/>
      </w:r>
      <w:r w:rsidRPr="00F27B05">
        <w:rPr>
          <w:sz w:val="18"/>
        </w:rPr>
        <w:t xml:space="preserve"> FREP Reports are available at </w:t>
      </w:r>
      <w:hyperlink r:id="rId2" w:history="1">
        <w:r w:rsidRPr="00F27B05">
          <w:rPr>
            <w:rStyle w:val="Hyperlink"/>
            <w:sz w:val="18"/>
          </w:rPr>
          <w:t>https://www.for.gov.bc.ca/hfp/frep/publications/reports.htm</w:t>
        </w:r>
      </w:hyperlink>
      <w:r w:rsidRPr="00F27B05">
        <w:rPr>
          <w:sz w:val="18"/>
        </w:rPr>
        <w:t xml:space="preserve"> </w:t>
      </w:r>
    </w:p>
  </w:footnote>
  <w:footnote w:id="4">
    <w:p w:rsidR="00EB1272" w:rsidRPr="00F27B05" w:rsidRDefault="00EB1272">
      <w:pPr>
        <w:pStyle w:val="FootnoteText"/>
        <w:rPr>
          <w:sz w:val="18"/>
        </w:rPr>
      </w:pPr>
      <w:r w:rsidRPr="00F27B05">
        <w:rPr>
          <w:rStyle w:val="FootnoteReference"/>
          <w:sz w:val="18"/>
        </w:rPr>
        <w:footnoteRef/>
      </w:r>
      <w:r w:rsidRPr="00F27B05">
        <w:rPr>
          <w:sz w:val="18"/>
        </w:rPr>
        <w:t xml:space="preserve"> MRVA Reports are available at </w:t>
      </w:r>
      <w:hyperlink r:id="rId3" w:history="1">
        <w:r w:rsidRPr="00F27B05">
          <w:rPr>
            <w:rStyle w:val="Hyperlink"/>
            <w:sz w:val="18"/>
          </w:rPr>
          <w:t>https://www.for.gov.bc.ca/hfp/frep/publications/mrva.htm</w:t>
        </w:r>
      </w:hyperlink>
      <w:r w:rsidRPr="00F27B05">
        <w:rPr>
          <w:sz w:val="18"/>
        </w:rPr>
        <w:t xml:space="preserve"> </w:t>
      </w:r>
    </w:p>
  </w:footnote>
  <w:footnote w:id="5">
    <w:p w:rsidR="00EB1272" w:rsidRPr="00F27B05" w:rsidRDefault="00EB1272">
      <w:pPr>
        <w:pStyle w:val="FootnoteText"/>
        <w:rPr>
          <w:sz w:val="18"/>
        </w:rPr>
      </w:pPr>
      <w:r w:rsidRPr="00F27B05">
        <w:rPr>
          <w:rStyle w:val="FootnoteReference"/>
          <w:sz w:val="18"/>
        </w:rPr>
        <w:footnoteRef/>
      </w:r>
      <w:r w:rsidRPr="00F27B05">
        <w:rPr>
          <w:sz w:val="18"/>
        </w:rPr>
        <w:t xml:space="preserve"> Additional samples have been collected for the 3 FREP values not included in the subset of “core” values.</w:t>
      </w:r>
    </w:p>
  </w:footnote>
  <w:footnote w:id="6">
    <w:p w:rsidR="00EB1272" w:rsidRPr="00F27B05" w:rsidRDefault="00EB1272" w:rsidP="00FF64ED">
      <w:pPr>
        <w:pStyle w:val="FootnoteText"/>
        <w:ind w:left="180" w:hanging="180"/>
        <w:rPr>
          <w:sz w:val="18"/>
        </w:rPr>
      </w:pPr>
      <w:r w:rsidRPr="00F27B05">
        <w:rPr>
          <w:rStyle w:val="FootnoteReference"/>
          <w:sz w:val="18"/>
        </w:rPr>
        <w:footnoteRef/>
      </w:r>
      <w:r w:rsidRPr="00F27B05">
        <w:rPr>
          <w:sz w:val="18"/>
        </w:rPr>
        <w:t xml:space="preserve"> Riparian condition is a classification based on the number of NOs: 0-2 = properly functioning; 3-4 = properly functioning, limited impact; 5-6 = properly functioning with impacts; 7+ = not properly functioning.</w:t>
      </w:r>
    </w:p>
  </w:footnote>
  <w:footnote w:id="7">
    <w:p w:rsidR="00EB1272" w:rsidRPr="00F27B05" w:rsidRDefault="00EB1272" w:rsidP="00414661">
      <w:pPr>
        <w:pStyle w:val="FootnoteText"/>
        <w:ind w:left="180" w:hanging="180"/>
        <w:rPr>
          <w:sz w:val="18"/>
          <w:szCs w:val="18"/>
        </w:rPr>
      </w:pPr>
      <w:r w:rsidRPr="00F27B05">
        <w:rPr>
          <w:rStyle w:val="FootnoteReference"/>
          <w:sz w:val="18"/>
          <w:szCs w:val="18"/>
        </w:rPr>
        <w:footnoteRef/>
      </w:r>
      <w:r w:rsidRPr="00F27B05">
        <w:rPr>
          <w:sz w:val="18"/>
          <w:szCs w:val="18"/>
        </w:rPr>
        <w:t xml:space="preserve"> The sampling fraction is the proportion of sampling units chosen from each district relative to the entire population per district, and is typically small. An adjustment (the finite population correction) is applied get better estimates of precision (i.e., a reduction in the standard error) to account for cases where a substantial fraction of the population was surveyed.</w:t>
      </w:r>
    </w:p>
  </w:footnote>
  <w:footnote w:id="8">
    <w:p w:rsidR="00EB1272" w:rsidRPr="00F27B05" w:rsidRDefault="00EB1272" w:rsidP="00414661">
      <w:pPr>
        <w:ind w:left="180" w:hanging="180"/>
        <w:rPr>
          <w:sz w:val="18"/>
          <w:szCs w:val="18"/>
        </w:rPr>
      </w:pPr>
      <w:r w:rsidRPr="00F27B05">
        <w:rPr>
          <w:rStyle w:val="FootnoteReference"/>
          <w:sz w:val="18"/>
          <w:szCs w:val="18"/>
        </w:rPr>
        <w:footnoteRef/>
      </w:r>
      <w:r w:rsidRPr="00F27B05">
        <w:rPr>
          <w:sz w:val="18"/>
          <w:szCs w:val="18"/>
        </w:rPr>
        <w:t xml:space="preserve"> Sample size is calculated by the equation</w:t>
      </w:r>
      <w:proofErr w:type="gramStart"/>
      <w:r w:rsidRPr="00F27B05">
        <w:rPr>
          <w:sz w:val="18"/>
          <w:szCs w:val="18"/>
        </w:rPr>
        <w:t xml:space="preserve">,   </w:t>
      </w:r>
      <m:oMath>
        <m:r>
          <w:rPr>
            <w:rFonts w:ascii="Cambria Math" w:hAnsi="Cambria Math"/>
            <w:sz w:val="18"/>
            <w:szCs w:val="18"/>
          </w:rPr>
          <m:t xml:space="preserve">n= </m:t>
        </m:r>
        <m:f>
          <m:fPr>
            <m:ctrlPr>
              <w:rPr>
                <w:rFonts w:ascii="Cambria Math" w:hAnsi="Cambria Math"/>
                <w:i/>
                <w:sz w:val="18"/>
                <w:szCs w:val="18"/>
              </w:rPr>
            </m:ctrlPr>
          </m:fPr>
          <m:num>
            <m:sSup>
              <m:sSupPr>
                <m:ctrlPr>
                  <w:rPr>
                    <w:rFonts w:ascii="Cambria Math" w:hAnsi="Cambria Math"/>
                    <w:i/>
                    <w:sz w:val="18"/>
                    <w:szCs w:val="18"/>
                  </w:rPr>
                </m:ctrlPr>
              </m:sSupPr>
              <m:e>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∝/2</m:t>
                    </m:r>
                  </m:sub>
                </m:sSub>
              </m:e>
              <m:sup>
                <m:r>
                  <w:rPr>
                    <w:rFonts w:ascii="Cambria Math" w:hAnsi="Cambria Math"/>
                    <w:sz w:val="18"/>
                    <w:szCs w:val="18"/>
                  </w:rPr>
                  <m:t>2</m:t>
                </m:r>
              </m:sup>
            </m:sSup>
            <m:r>
              <w:rPr>
                <w:rFonts w:ascii="Cambria Math" w:hAnsi="Cambria Math"/>
                <w:sz w:val="18"/>
                <w:szCs w:val="18"/>
              </w:rPr>
              <m:t>*p</m:t>
            </m:r>
            <m:d>
              <m:dPr>
                <m:ctrlPr>
                  <w:rPr>
                    <w:rFonts w:ascii="Cambria Math" w:hAnsi="Cambria Math"/>
                    <w:i/>
                    <w:sz w:val="18"/>
                    <w:szCs w:val="18"/>
                  </w:rPr>
                </m:ctrlPr>
              </m:dPr>
              <m:e>
                <m:r>
                  <w:rPr>
                    <w:rFonts w:ascii="Cambria Math" w:hAnsi="Cambria Math"/>
                    <w:sz w:val="18"/>
                    <w:szCs w:val="18"/>
                  </w:rPr>
                  <m:t>1-p</m:t>
                </m:r>
              </m:e>
            </m:d>
          </m:num>
          <m:den>
            <m:sSup>
              <m:sSupPr>
                <m:ctrlPr>
                  <w:rPr>
                    <w:rFonts w:ascii="Cambria Math" w:hAnsi="Cambria Math"/>
                    <w:i/>
                    <w:sz w:val="18"/>
                    <w:szCs w:val="18"/>
                  </w:rPr>
                </m:ctrlPr>
              </m:sSupPr>
              <m:e>
                <m:r>
                  <w:rPr>
                    <w:rFonts w:ascii="Cambria Math" w:hAnsi="Cambria Math"/>
                    <w:sz w:val="18"/>
                    <w:szCs w:val="18"/>
                  </w:rPr>
                  <m:t>L</m:t>
                </m:r>
              </m:e>
              <m:sup>
                <m:r>
                  <w:rPr>
                    <w:rFonts w:ascii="Cambria Math" w:hAnsi="Cambria Math"/>
                    <w:sz w:val="18"/>
                    <w:szCs w:val="18"/>
                  </w:rPr>
                  <m:t>2</m:t>
                </m:r>
              </m:sup>
            </m:sSup>
          </m:den>
        </m:f>
      </m:oMath>
      <w:r w:rsidRPr="00F27B05">
        <w:rPr>
          <w:sz w:val="18"/>
          <w:szCs w:val="18"/>
        </w:rPr>
        <w:t>,</w:t>
      </w:r>
      <w:proofErr w:type="gramEnd"/>
      <w:r w:rsidRPr="00F27B05">
        <w:rPr>
          <w:sz w:val="18"/>
          <w:szCs w:val="18"/>
        </w:rPr>
        <w:t xml:space="preserve"> where </w:t>
      </w:r>
      <m:oMath>
        <m:sSub>
          <m:sSubPr>
            <m:ctrlPr>
              <w:rPr>
                <w:rFonts w:ascii="Cambria Math" w:hAnsi="Cambria Math"/>
                <w:i/>
                <w:sz w:val="18"/>
                <w:szCs w:val="18"/>
              </w:rPr>
            </m:ctrlPr>
          </m:sSubPr>
          <m:e>
            <m:r>
              <w:rPr>
                <w:rFonts w:ascii="Cambria Math" w:hAnsi="Cambria Math"/>
                <w:sz w:val="18"/>
                <w:szCs w:val="18"/>
              </w:rPr>
              <m:t>z</m:t>
            </m:r>
          </m:e>
          <m:sub>
            <m:r>
              <w:rPr>
                <w:rFonts w:ascii="Cambria Math" w:hAnsi="Cambria Math"/>
                <w:sz w:val="18"/>
                <w:szCs w:val="18"/>
              </w:rPr>
              <m:t>∝/2</m:t>
            </m:r>
          </m:sub>
        </m:sSub>
      </m:oMath>
      <w:r w:rsidRPr="00F27B05">
        <w:rPr>
          <w:sz w:val="18"/>
          <w:szCs w:val="18"/>
        </w:rPr>
        <w:t xml:space="preserve"> is the critical value of the normal distribution at </w:t>
      </w:r>
      <w:r w:rsidRPr="00F27B05">
        <w:rPr>
          <w:rFonts w:cstheme="minorHAnsi"/>
          <w:sz w:val="18"/>
          <w:szCs w:val="18"/>
        </w:rPr>
        <w:t>α/2 (e.g. for a confidence level of 90%, α</w:t>
      </w:r>
      <w:r w:rsidRPr="00F27B05">
        <w:rPr>
          <w:sz w:val="18"/>
          <w:szCs w:val="18"/>
        </w:rPr>
        <w:t xml:space="preserve">=0.1 and the critical value is 1.645), and </w:t>
      </w:r>
      <m:oMath>
        <m:r>
          <w:rPr>
            <w:rFonts w:ascii="Cambria Math" w:hAnsi="Cambria Math"/>
            <w:sz w:val="18"/>
            <w:szCs w:val="18"/>
          </w:rPr>
          <m:t>L</m:t>
        </m:r>
      </m:oMath>
      <w:r w:rsidRPr="00F27B05">
        <w:rPr>
          <w:sz w:val="18"/>
          <w:szCs w:val="18"/>
        </w:rPr>
        <w:t xml:space="preserve"> is the width of the confidence interval.</w:t>
      </w:r>
    </w:p>
  </w:footnote>
  <w:footnote w:id="9">
    <w:p w:rsidR="00EB1272" w:rsidRPr="00F27B05" w:rsidRDefault="00EB1272" w:rsidP="00D83103">
      <w:pPr>
        <w:pStyle w:val="FootnoteText"/>
        <w:ind w:left="180" w:hanging="180"/>
        <w:rPr>
          <w:sz w:val="18"/>
        </w:rPr>
      </w:pPr>
      <w:r w:rsidRPr="00F27B05">
        <w:rPr>
          <w:rStyle w:val="FootnoteReference"/>
          <w:sz w:val="18"/>
        </w:rPr>
        <w:footnoteRef/>
      </w:r>
      <w:r w:rsidRPr="00F27B05">
        <w:rPr>
          <w:sz w:val="18"/>
        </w:rPr>
        <w:t xml:space="preserve"> The exception is for districts where the current population is less than the required minimums. In these cases, the entire population should be sampled (i.e., a census).</w:t>
      </w:r>
    </w:p>
  </w:footnote>
  <w:footnote w:id="10">
    <w:p w:rsidR="00EB1272" w:rsidRPr="00F27B05" w:rsidRDefault="00EB1272" w:rsidP="00D83103">
      <w:pPr>
        <w:pStyle w:val="FootnoteText"/>
        <w:ind w:left="180" w:hanging="180"/>
        <w:rPr>
          <w:sz w:val="18"/>
        </w:rPr>
      </w:pPr>
      <w:r w:rsidRPr="00F27B05">
        <w:rPr>
          <w:rStyle w:val="FootnoteReference"/>
          <w:sz w:val="18"/>
        </w:rPr>
        <w:footnoteRef/>
      </w:r>
      <w:r w:rsidRPr="00F27B05">
        <w:rPr>
          <w:sz w:val="18"/>
        </w:rPr>
        <w:t xml:space="preserve"> The SDM list is refreshed every five years (i.e., less frequently), therefore setting minimum sampling frequency requirements based on the 3-year restriction will still be acceptable.</w:t>
      </w:r>
    </w:p>
  </w:footnote>
  <w:footnote w:id="11">
    <w:p w:rsidR="00EB1272" w:rsidRPr="00F27B05" w:rsidRDefault="00EB1272" w:rsidP="00D83103">
      <w:pPr>
        <w:pStyle w:val="FootnoteText"/>
        <w:ind w:left="180" w:hanging="180"/>
        <w:rPr>
          <w:sz w:val="18"/>
        </w:rPr>
      </w:pPr>
      <w:r w:rsidRPr="00F27B05">
        <w:rPr>
          <w:rStyle w:val="FootnoteReference"/>
          <w:sz w:val="18"/>
        </w:rPr>
        <w:footnoteRef/>
      </w:r>
      <w:r w:rsidRPr="00F27B05">
        <w:rPr>
          <w:sz w:val="18"/>
        </w:rPr>
        <w:t xml:space="preserve"> The FREP program may specify a definite time period over which alignment with the sampling minimums must be achieved.</w:t>
      </w:r>
    </w:p>
  </w:footnote>
  <w:footnote w:id="12">
    <w:p w:rsidR="00EB1272" w:rsidRPr="00F27B05" w:rsidRDefault="00EB1272" w:rsidP="00D83103">
      <w:pPr>
        <w:pStyle w:val="FootnoteText"/>
        <w:ind w:left="180" w:hanging="180"/>
        <w:rPr>
          <w:sz w:val="18"/>
        </w:rPr>
      </w:pPr>
      <w:r w:rsidRPr="00F27B05">
        <w:rPr>
          <w:rStyle w:val="FootnoteReference"/>
          <w:sz w:val="18"/>
        </w:rPr>
        <w:footnoteRef/>
      </w:r>
      <w:r w:rsidRPr="00F27B05">
        <w:rPr>
          <w:sz w:val="18"/>
        </w:rPr>
        <w:t xml:space="preserve"> The possibility of alternative (potentially nested) sampling frames to address non-</w:t>
      </w:r>
      <w:proofErr w:type="spellStart"/>
      <w:r w:rsidRPr="00F27B05">
        <w:rPr>
          <w:sz w:val="18"/>
        </w:rPr>
        <w:t>cutblock</w:t>
      </w:r>
      <w:proofErr w:type="spellEnd"/>
      <w:r w:rsidRPr="00F27B05">
        <w:rPr>
          <w:sz w:val="18"/>
        </w:rPr>
        <w:t>-based activities and outcomes is beyond the scope of the present work.</w:t>
      </w:r>
    </w:p>
  </w:footnote>
  <w:footnote w:id="13">
    <w:p w:rsidR="00EB1272" w:rsidRPr="00F27B05" w:rsidRDefault="00EB1272">
      <w:pPr>
        <w:pStyle w:val="FootnoteText"/>
        <w:rPr>
          <w:sz w:val="18"/>
        </w:rPr>
      </w:pPr>
      <w:r w:rsidRPr="00F27B05">
        <w:rPr>
          <w:rStyle w:val="FootnoteReference"/>
          <w:sz w:val="18"/>
        </w:rPr>
        <w:footnoteRef/>
      </w:r>
      <w:r w:rsidRPr="00F27B05">
        <w:rPr>
          <w:sz w:val="18"/>
        </w:rPr>
        <w:t xml:space="preserve"> The sampling frame is the list of sample units from which samples are </w:t>
      </w:r>
      <w:proofErr w:type="gramStart"/>
      <w:r w:rsidRPr="00F27B05">
        <w:rPr>
          <w:sz w:val="18"/>
        </w:rPr>
        <w:t>taken,</w:t>
      </w:r>
      <w:proofErr w:type="gramEnd"/>
      <w:r w:rsidRPr="00F27B05">
        <w:rPr>
          <w:sz w:val="18"/>
        </w:rPr>
        <w:t xml:space="preserve"> ideally this list represents the entire population of interest (see FREP Report 37 (Paige et al. 2014) for further definitions of basic sampling design concepts and components).</w:t>
      </w:r>
    </w:p>
  </w:footnote>
  <w:footnote w:id="14">
    <w:p w:rsidR="00EB1272" w:rsidRPr="00F27B05" w:rsidRDefault="00EB1272" w:rsidP="00637D94">
      <w:pPr>
        <w:pStyle w:val="FootnoteText"/>
        <w:ind w:left="180" w:hanging="180"/>
        <w:rPr>
          <w:sz w:val="18"/>
        </w:rPr>
      </w:pPr>
      <w:r w:rsidRPr="00F27B05">
        <w:rPr>
          <w:rStyle w:val="FootnoteReference"/>
          <w:sz w:val="18"/>
        </w:rPr>
        <w:footnoteRef/>
      </w:r>
      <w:r w:rsidRPr="00F27B05">
        <w:rPr>
          <w:sz w:val="18"/>
        </w:rPr>
        <w:t xml:space="preserve"> </w:t>
      </w:r>
      <w:proofErr w:type="gramStart"/>
      <w:r w:rsidRPr="00F27B05">
        <w:rPr>
          <w:sz w:val="18"/>
        </w:rPr>
        <w:t>Considering a sampling frame that is not subset of the existing sampling frame (e.g., unharvested areas), is beyond the scope of the present work.</w:t>
      </w:r>
      <w:proofErr w:type="gramEnd"/>
      <w:r w:rsidRPr="00F27B05">
        <w:rPr>
          <w:sz w:val="18"/>
        </w:rPr>
        <w:t xml:space="preserve"> Integrating alternate sampling frames and sampling units within a single monitoring system is statistically complex.</w:t>
      </w:r>
    </w:p>
  </w:footnote>
  <w:footnote w:id="15">
    <w:p w:rsidR="00EB1272" w:rsidRPr="00F27B05" w:rsidRDefault="00EB1272" w:rsidP="0075336C">
      <w:pPr>
        <w:pStyle w:val="FootnoteText"/>
        <w:ind w:left="180" w:hanging="180"/>
        <w:rPr>
          <w:sz w:val="18"/>
        </w:rPr>
      </w:pPr>
      <w:r w:rsidRPr="00F27B05">
        <w:rPr>
          <w:rStyle w:val="FootnoteReference"/>
          <w:sz w:val="18"/>
        </w:rPr>
        <w:footnoteRef/>
      </w:r>
      <w:r w:rsidRPr="00F27B05">
        <w:rPr>
          <w:sz w:val="18"/>
        </w:rPr>
        <w:t xml:space="preserve"> Recall from March 2015 report:  “Generally speaking the variance among PSUs is greater than the variance within PSUs and therefore increasing the number of PSUs has a greater impact on precision than increasing the number of SSUs.” </w:t>
      </w:r>
      <w:proofErr w:type="gramStart"/>
      <w:r w:rsidRPr="00F27B05">
        <w:rPr>
          <w:sz w:val="18"/>
        </w:rPr>
        <w:t>(p. 40, see also Figure 3.1).</w:t>
      </w:r>
      <w:proofErr w:type="gramEnd"/>
    </w:p>
  </w:footnote>
  <w:footnote w:id="16">
    <w:p w:rsidR="00EB1272" w:rsidRPr="00F27B05" w:rsidRDefault="00EB1272" w:rsidP="0075336C">
      <w:pPr>
        <w:pStyle w:val="FootnoteText"/>
        <w:ind w:left="180" w:hanging="180"/>
        <w:rPr>
          <w:sz w:val="18"/>
          <w:szCs w:val="18"/>
        </w:rPr>
      </w:pPr>
      <w:r w:rsidRPr="00F27B05">
        <w:rPr>
          <w:rStyle w:val="FootnoteReference"/>
          <w:sz w:val="18"/>
          <w:szCs w:val="18"/>
        </w:rPr>
        <w:footnoteRef/>
      </w:r>
      <w:r w:rsidRPr="00F27B05">
        <w:rPr>
          <w:sz w:val="18"/>
          <w:szCs w:val="18"/>
        </w:rPr>
        <w:t xml:space="preserve"> The interest in being able to address questions and issues at various sub-district scales was a common theme emerging from the survey and workshop. Watershed scale is one example (perhaps the most frequently cited) of a sub-district scale of interest to users.</w:t>
      </w:r>
    </w:p>
  </w:footnote>
  <w:footnote w:id="17">
    <w:p w:rsidR="00EB1272" w:rsidRPr="00F27B05" w:rsidRDefault="00EB1272" w:rsidP="00183085">
      <w:pPr>
        <w:pStyle w:val="FootnoteText"/>
        <w:ind w:left="180" w:hanging="180"/>
        <w:rPr>
          <w:sz w:val="18"/>
          <w:szCs w:val="18"/>
        </w:rPr>
      </w:pPr>
      <w:r w:rsidRPr="00F27B05">
        <w:rPr>
          <w:rStyle w:val="FootnoteReference"/>
          <w:sz w:val="18"/>
          <w:szCs w:val="18"/>
        </w:rPr>
        <w:footnoteRef/>
      </w:r>
      <w:r w:rsidRPr="00F27B05">
        <w:rPr>
          <w:sz w:val="18"/>
          <w:szCs w:val="18"/>
        </w:rPr>
        <w:t xml:space="preserve"> Landscape Unit was chosen for the example because it is already included as part of the sample data for the riparian value, therefore readily facilitating use as an additional scale for exploring subsampling concepts.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272" w:rsidRDefault="00EB1272">
    <w:pPr>
      <w:pStyle w:val="Header"/>
    </w:pPr>
    <w:r>
      <w:t>ESSA Technologies</w:t>
    </w:r>
    <w:r>
      <w:ptab w:relativeTo="margin" w:alignment="center" w:leader="none"/>
    </w:r>
    <w:r>
      <w:t xml:space="preserve">FREP Sampling Design Report: </w:t>
    </w:r>
    <w:r>
      <w:rPr>
        <w:b/>
      </w:rPr>
      <w:t>FINAL</w:t>
    </w:r>
    <w:r>
      <w:ptab w:relativeTo="margin" w:alignment="right" w:leader="none"/>
    </w:r>
    <w:r>
      <w:t>February 2016</w:t>
    </w:r>
  </w:p>
  <w:p w:rsidR="00EB1272" w:rsidRDefault="00EB12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54FB"/>
    <w:multiLevelType w:val="hybridMultilevel"/>
    <w:tmpl w:val="CFD0EBD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
    <w:nsid w:val="03B02CA4"/>
    <w:multiLevelType w:val="hybridMultilevel"/>
    <w:tmpl w:val="32F8A5D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D03D4D"/>
    <w:multiLevelType w:val="hybridMultilevel"/>
    <w:tmpl w:val="D9C872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B6AD5"/>
    <w:multiLevelType w:val="multilevel"/>
    <w:tmpl w:val="55AAC854"/>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D907542"/>
    <w:multiLevelType w:val="hybridMultilevel"/>
    <w:tmpl w:val="71EC0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5A5305"/>
    <w:multiLevelType w:val="hybridMultilevel"/>
    <w:tmpl w:val="41EA231C"/>
    <w:lvl w:ilvl="0" w:tplc="54468D66">
      <w:start w:val="1"/>
      <w:numFmt w:val="decimal"/>
      <w:pStyle w:val="ListParagraph"/>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323772"/>
    <w:multiLevelType w:val="hybridMultilevel"/>
    <w:tmpl w:val="7F08F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DC2603"/>
    <w:multiLevelType w:val="multilevel"/>
    <w:tmpl w:val="D46609BC"/>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bullet"/>
      <w:lvlText w:val="o"/>
      <w:lvlJc w:val="left"/>
      <w:pPr>
        <w:ind w:left="1440" w:hanging="360"/>
      </w:pPr>
      <w:rPr>
        <w:rFonts w:ascii="Courier New" w:hAnsi="Courier New" w:cs="Courier New"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7837ABE"/>
    <w:multiLevelType w:val="hybridMultilevel"/>
    <w:tmpl w:val="5B2C059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nsid w:val="32971113"/>
    <w:multiLevelType w:val="hybridMultilevel"/>
    <w:tmpl w:val="C5EA1F36"/>
    <w:lvl w:ilvl="0" w:tplc="D0829920">
      <w:start w:val="1"/>
      <w:numFmt w:val="upperLetter"/>
      <w:pStyle w:val="SuperHeader"/>
      <w:lvlText w:val="%1."/>
      <w:lvlJc w:val="left"/>
      <w:pPr>
        <w:ind w:left="502"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EC37015"/>
    <w:multiLevelType w:val="hybridMultilevel"/>
    <w:tmpl w:val="10FABEC6"/>
    <w:lvl w:ilvl="0" w:tplc="D6AAC250">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1">
    <w:nsid w:val="3F875D82"/>
    <w:multiLevelType w:val="hybridMultilevel"/>
    <w:tmpl w:val="258AA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5F1C3D"/>
    <w:multiLevelType w:val="multilevel"/>
    <w:tmpl w:val="0F2EA52A"/>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4D6315AE"/>
    <w:multiLevelType w:val="hybridMultilevel"/>
    <w:tmpl w:val="D264C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3837DE"/>
    <w:multiLevelType w:val="hybridMultilevel"/>
    <w:tmpl w:val="0FC8D9B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D52517"/>
    <w:multiLevelType w:val="multilevel"/>
    <w:tmpl w:val="314EF8CA"/>
    <w:lvl w:ilvl="0">
      <w:start w:val="1"/>
      <w:numFmt w:val="decimal"/>
      <w:pStyle w:val="AltList"/>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5671EAC"/>
    <w:multiLevelType w:val="multilevel"/>
    <w:tmpl w:val="3D8C7ADC"/>
    <w:lvl w:ilvl="0">
      <w:start w:val="1"/>
      <w:numFmt w:val="upperLetter"/>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55D80162"/>
    <w:multiLevelType w:val="multilevel"/>
    <w:tmpl w:val="52366DA4"/>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6536C92"/>
    <w:multiLevelType w:val="hybridMultilevel"/>
    <w:tmpl w:val="DE143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E933C9"/>
    <w:multiLevelType w:val="hybridMultilevel"/>
    <w:tmpl w:val="BE44B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F71CDD"/>
    <w:multiLevelType w:val="hybridMultilevel"/>
    <w:tmpl w:val="2730AE74"/>
    <w:lvl w:ilvl="0" w:tplc="C46AB496">
      <w:numFmt w:val="bullet"/>
      <w:lvlText w:val="-"/>
      <w:lvlJc w:val="left"/>
      <w:pPr>
        <w:ind w:left="720" w:hanging="360"/>
      </w:pPr>
      <w:rPr>
        <w:rFonts w:ascii="Calibri" w:eastAsiaTheme="minorHAnsi" w:hAnsi="Calibri" w:cs="Calibr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9"/>
  </w:num>
  <w:num w:numId="4">
    <w:abstractNumId w:val="6"/>
  </w:num>
  <w:num w:numId="5">
    <w:abstractNumId w:val="2"/>
  </w:num>
  <w:num w:numId="6">
    <w:abstractNumId w:val="11"/>
  </w:num>
  <w:num w:numId="7">
    <w:abstractNumId w:val="5"/>
  </w:num>
  <w:num w:numId="8">
    <w:abstractNumId w:val="8"/>
  </w:num>
  <w:num w:numId="9">
    <w:abstractNumId w:val="1"/>
  </w:num>
  <w:num w:numId="10">
    <w:abstractNumId w:val="14"/>
  </w:num>
  <w:num w:numId="11">
    <w:abstractNumId w:val="20"/>
  </w:num>
  <w:num w:numId="12">
    <w:abstractNumId w:val="13"/>
  </w:num>
  <w:num w:numId="13">
    <w:abstractNumId w:val="4"/>
  </w:num>
  <w:num w:numId="14">
    <w:abstractNumId w:val="18"/>
  </w:num>
  <w:num w:numId="15">
    <w:abstractNumId w:val="15"/>
  </w:num>
  <w:num w:numId="16">
    <w:abstractNumId w:val="3"/>
  </w:num>
  <w:num w:numId="17">
    <w:abstractNumId w:val="12"/>
  </w:num>
  <w:num w:numId="18">
    <w:abstractNumId w:val="17"/>
  </w:num>
  <w:num w:numId="19">
    <w:abstractNumId w:val="7"/>
  </w:num>
  <w:num w:numId="20">
    <w:abstractNumId w:val="5"/>
    <w:lvlOverride w:ilvl="0">
      <w:startOverride w:val="1"/>
    </w:lvlOverride>
  </w:num>
  <w:num w:numId="21">
    <w:abstractNumId w:val="15"/>
  </w:num>
  <w:num w:numId="22">
    <w:abstractNumId w:val="10"/>
  </w:num>
  <w:num w:numId="23">
    <w:abstractNumId w:val="0"/>
  </w:num>
  <w:num w:numId="24">
    <w:abstractNumId w:val="5"/>
  </w:num>
  <w:num w:numId="25">
    <w:abstractNumId w:val="15"/>
  </w:num>
  <w:num w:numId="26">
    <w:abstractNumId w:val="15"/>
  </w:num>
  <w:num w:numId="27">
    <w:abstractNumId w:val="15"/>
  </w:num>
  <w:num w:numId="28">
    <w:abstractNumId w:val="15"/>
  </w:num>
  <w:num w:numId="29">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06842"/>
    <w:rsid w:val="000014E6"/>
    <w:rsid w:val="00001FE8"/>
    <w:rsid w:val="00002446"/>
    <w:rsid w:val="00003171"/>
    <w:rsid w:val="00007510"/>
    <w:rsid w:val="000076B2"/>
    <w:rsid w:val="00007819"/>
    <w:rsid w:val="00010485"/>
    <w:rsid w:val="00027205"/>
    <w:rsid w:val="0003042D"/>
    <w:rsid w:val="00031639"/>
    <w:rsid w:val="00031CFA"/>
    <w:rsid w:val="00032A3F"/>
    <w:rsid w:val="00033AA9"/>
    <w:rsid w:val="000377B5"/>
    <w:rsid w:val="000417AC"/>
    <w:rsid w:val="000455D6"/>
    <w:rsid w:val="00053637"/>
    <w:rsid w:val="00053EDD"/>
    <w:rsid w:val="00067452"/>
    <w:rsid w:val="00070C4A"/>
    <w:rsid w:val="00071122"/>
    <w:rsid w:val="000719C1"/>
    <w:rsid w:val="00074D5A"/>
    <w:rsid w:val="00080CF5"/>
    <w:rsid w:val="0008396B"/>
    <w:rsid w:val="0009046A"/>
    <w:rsid w:val="00092727"/>
    <w:rsid w:val="00095A92"/>
    <w:rsid w:val="000963E0"/>
    <w:rsid w:val="000A0B17"/>
    <w:rsid w:val="000A3024"/>
    <w:rsid w:val="000A571E"/>
    <w:rsid w:val="000B0ED2"/>
    <w:rsid w:val="000B519A"/>
    <w:rsid w:val="000B6645"/>
    <w:rsid w:val="000C1BF5"/>
    <w:rsid w:val="000C1DCC"/>
    <w:rsid w:val="000C3AA1"/>
    <w:rsid w:val="000C4ED9"/>
    <w:rsid w:val="000D3B7D"/>
    <w:rsid w:val="000D3BCB"/>
    <w:rsid w:val="000E056B"/>
    <w:rsid w:val="000E40CB"/>
    <w:rsid w:val="000E6F3E"/>
    <w:rsid w:val="000E75B1"/>
    <w:rsid w:val="000E75FA"/>
    <w:rsid w:val="00102831"/>
    <w:rsid w:val="00105B41"/>
    <w:rsid w:val="00113940"/>
    <w:rsid w:val="001170A0"/>
    <w:rsid w:val="0012585A"/>
    <w:rsid w:val="001261CC"/>
    <w:rsid w:val="001267D7"/>
    <w:rsid w:val="0013572B"/>
    <w:rsid w:val="00140C2E"/>
    <w:rsid w:val="0014250B"/>
    <w:rsid w:val="001565CA"/>
    <w:rsid w:val="00161AB8"/>
    <w:rsid w:val="001630CE"/>
    <w:rsid w:val="00166C48"/>
    <w:rsid w:val="00181CC7"/>
    <w:rsid w:val="00183085"/>
    <w:rsid w:val="0018377B"/>
    <w:rsid w:val="0018480D"/>
    <w:rsid w:val="00184F6E"/>
    <w:rsid w:val="00186DDF"/>
    <w:rsid w:val="00191CC4"/>
    <w:rsid w:val="00191EE4"/>
    <w:rsid w:val="0019218A"/>
    <w:rsid w:val="00193B81"/>
    <w:rsid w:val="00194FDA"/>
    <w:rsid w:val="0019574A"/>
    <w:rsid w:val="001A2D28"/>
    <w:rsid w:val="001B01B2"/>
    <w:rsid w:val="001B330C"/>
    <w:rsid w:val="001B78DB"/>
    <w:rsid w:val="001C28E5"/>
    <w:rsid w:val="001C724C"/>
    <w:rsid w:val="001E5857"/>
    <w:rsid w:val="001F1563"/>
    <w:rsid w:val="001F32F0"/>
    <w:rsid w:val="001F4958"/>
    <w:rsid w:val="001F747E"/>
    <w:rsid w:val="002006CE"/>
    <w:rsid w:val="00201121"/>
    <w:rsid w:val="002014EC"/>
    <w:rsid w:val="00202DCE"/>
    <w:rsid w:val="00206842"/>
    <w:rsid w:val="00210D71"/>
    <w:rsid w:val="00221193"/>
    <w:rsid w:val="00221A68"/>
    <w:rsid w:val="002224B0"/>
    <w:rsid w:val="0022285C"/>
    <w:rsid w:val="00223E57"/>
    <w:rsid w:val="00231A3D"/>
    <w:rsid w:val="00232B9D"/>
    <w:rsid w:val="00234730"/>
    <w:rsid w:val="00234A21"/>
    <w:rsid w:val="00245371"/>
    <w:rsid w:val="00245966"/>
    <w:rsid w:val="0025191A"/>
    <w:rsid w:val="002544E8"/>
    <w:rsid w:val="002579D8"/>
    <w:rsid w:val="00264072"/>
    <w:rsid w:val="002665FA"/>
    <w:rsid w:val="00272552"/>
    <w:rsid w:val="00272AED"/>
    <w:rsid w:val="0027639F"/>
    <w:rsid w:val="00277015"/>
    <w:rsid w:val="00277392"/>
    <w:rsid w:val="002778C6"/>
    <w:rsid w:val="00282F2B"/>
    <w:rsid w:val="002855D4"/>
    <w:rsid w:val="00286C55"/>
    <w:rsid w:val="00286E4C"/>
    <w:rsid w:val="00292D5F"/>
    <w:rsid w:val="0029695F"/>
    <w:rsid w:val="002A1D12"/>
    <w:rsid w:val="002A5C30"/>
    <w:rsid w:val="002A5D85"/>
    <w:rsid w:val="002A7854"/>
    <w:rsid w:val="002B0677"/>
    <w:rsid w:val="002B118C"/>
    <w:rsid w:val="002B35CC"/>
    <w:rsid w:val="002B3633"/>
    <w:rsid w:val="002B4877"/>
    <w:rsid w:val="002B6D58"/>
    <w:rsid w:val="002B7E78"/>
    <w:rsid w:val="002C104B"/>
    <w:rsid w:val="002C4390"/>
    <w:rsid w:val="002D02CB"/>
    <w:rsid w:val="002D3AE6"/>
    <w:rsid w:val="002D4F79"/>
    <w:rsid w:val="002D516F"/>
    <w:rsid w:val="002D7B2D"/>
    <w:rsid w:val="002E0462"/>
    <w:rsid w:val="002E055F"/>
    <w:rsid w:val="002E12A5"/>
    <w:rsid w:val="002E499A"/>
    <w:rsid w:val="002F14B7"/>
    <w:rsid w:val="002F28AD"/>
    <w:rsid w:val="002F3852"/>
    <w:rsid w:val="002F594E"/>
    <w:rsid w:val="002F6AE4"/>
    <w:rsid w:val="002F76ED"/>
    <w:rsid w:val="00300446"/>
    <w:rsid w:val="0031312F"/>
    <w:rsid w:val="00331175"/>
    <w:rsid w:val="003317F7"/>
    <w:rsid w:val="00340672"/>
    <w:rsid w:val="003440D2"/>
    <w:rsid w:val="003461EF"/>
    <w:rsid w:val="003479A2"/>
    <w:rsid w:val="0035099C"/>
    <w:rsid w:val="003601C8"/>
    <w:rsid w:val="00370613"/>
    <w:rsid w:val="00372BD6"/>
    <w:rsid w:val="00387462"/>
    <w:rsid w:val="003905C1"/>
    <w:rsid w:val="00390BC8"/>
    <w:rsid w:val="00391904"/>
    <w:rsid w:val="0039497A"/>
    <w:rsid w:val="0039776A"/>
    <w:rsid w:val="00397CFF"/>
    <w:rsid w:val="003A0F1A"/>
    <w:rsid w:val="003A2FE7"/>
    <w:rsid w:val="003A704D"/>
    <w:rsid w:val="003B3204"/>
    <w:rsid w:val="003B628F"/>
    <w:rsid w:val="003B74F8"/>
    <w:rsid w:val="003B79DA"/>
    <w:rsid w:val="003C1D5A"/>
    <w:rsid w:val="003C22D3"/>
    <w:rsid w:val="003C2433"/>
    <w:rsid w:val="003C3E57"/>
    <w:rsid w:val="003C7131"/>
    <w:rsid w:val="003D5131"/>
    <w:rsid w:val="003E0077"/>
    <w:rsid w:val="003E1001"/>
    <w:rsid w:val="003E4D4C"/>
    <w:rsid w:val="003E659A"/>
    <w:rsid w:val="003F6269"/>
    <w:rsid w:val="004001E4"/>
    <w:rsid w:val="0040087E"/>
    <w:rsid w:val="00403E76"/>
    <w:rsid w:val="0040555F"/>
    <w:rsid w:val="004074AA"/>
    <w:rsid w:val="00413099"/>
    <w:rsid w:val="00413CCA"/>
    <w:rsid w:val="00414661"/>
    <w:rsid w:val="00416137"/>
    <w:rsid w:val="004209C5"/>
    <w:rsid w:val="00424F13"/>
    <w:rsid w:val="0042550E"/>
    <w:rsid w:val="0043299E"/>
    <w:rsid w:val="004344F8"/>
    <w:rsid w:val="0043462C"/>
    <w:rsid w:val="0043463B"/>
    <w:rsid w:val="0044328C"/>
    <w:rsid w:val="0044474E"/>
    <w:rsid w:val="004449F5"/>
    <w:rsid w:val="00451AF1"/>
    <w:rsid w:val="004579F3"/>
    <w:rsid w:val="0047736D"/>
    <w:rsid w:val="00481D89"/>
    <w:rsid w:val="00482D9C"/>
    <w:rsid w:val="0048667A"/>
    <w:rsid w:val="00486C19"/>
    <w:rsid w:val="00491F0E"/>
    <w:rsid w:val="00495B9B"/>
    <w:rsid w:val="004A01C8"/>
    <w:rsid w:val="004A37C7"/>
    <w:rsid w:val="004B1728"/>
    <w:rsid w:val="004C093A"/>
    <w:rsid w:val="004C58D3"/>
    <w:rsid w:val="004C7153"/>
    <w:rsid w:val="004D2D9F"/>
    <w:rsid w:val="004D3A5D"/>
    <w:rsid w:val="004D503A"/>
    <w:rsid w:val="004E068A"/>
    <w:rsid w:val="004F04A2"/>
    <w:rsid w:val="004F0B0C"/>
    <w:rsid w:val="0050070C"/>
    <w:rsid w:val="00510931"/>
    <w:rsid w:val="00511A94"/>
    <w:rsid w:val="00517336"/>
    <w:rsid w:val="005230F9"/>
    <w:rsid w:val="0052395E"/>
    <w:rsid w:val="00524E54"/>
    <w:rsid w:val="005261EB"/>
    <w:rsid w:val="0053269F"/>
    <w:rsid w:val="005362AB"/>
    <w:rsid w:val="00541AEB"/>
    <w:rsid w:val="00546F9F"/>
    <w:rsid w:val="0055352C"/>
    <w:rsid w:val="00554E8D"/>
    <w:rsid w:val="00555D56"/>
    <w:rsid w:val="0056462F"/>
    <w:rsid w:val="00566E01"/>
    <w:rsid w:val="005715C8"/>
    <w:rsid w:val="00571FA6"/>
    <w:rsid w:val="00573C9E"/>
    <w:rsid w:val="00574E01"/>
    <w:rsid w:val="00577998"/>
    <w:rsid w:val="00590109"/>
    <w:rsid w:val="0059103F"/>
    <w:rsid w:val="005A1CA1"/>
    <w:rsid w:val="005A2A7B"/>
    <w:rsid w:val="005A36BB"/>
    <w:rsid w:val="005A551C"/>
    <w:rsid w:val="005A735F"/>
    <w:rsid w:val="005A7F45"/>
    <w:rsid w:val="005B32B1"/>
    <w:rsid w:val="005B46CC"/>
    <w:rsid w:val="005B7087"/>
    <w:rsid w:val="005C40B7"/>
    <w:rsid w:val="005C5556"/>
    <w:rsid w:val="005C7952"/>
    <w:rsid w:val="005E03C5"/>
    <w:rsid w:val="005E13E6"/>
    <w:rsid w:val="005E3191"/>
    <w:rsid w:val="005E4937"/>
    <w:rsid w:val="005E5D5F"/>
    <w:rsid w:val="005F2E2F"/>
    <w:rsid w:val="005F2FDA"/>
    <w:rsid w:val="005F76EE"/>
    <w:rsid w:val="00600F12"/>
    <w:rsid w:val="00601263"/>
    <w:rsid w:val="00604A43"/>
    <w:rsid w:val="00606FF9"/>
    <w:rsid w:val="00611E22"/>
    <w:rsid w:val="00611EDF"/>
    <w:rsid w:val="006255EF"/>
    <w:rsid w:val="00626D5B"/>
    <w:rsid w:val="006312B3"/>
    <w:rsid w:val="006341FB"/>
    <w:rsid w:val="00637197"/>
    <w:rsid w:val="00637D94"/>
    <w:rsid w:val="006418EB"/>
    <w:rsid w:val="00642DA8"/>
    <w:rsid w:val="00647587"/>
    <w:rsid w:val="00650F65"/>
    <w:rsid w:val="00652743"/>
    <w:rsid w:val="00655637"/>
    <w:rsid w:val="00657E8E"/>
    <w:rsid w:val="00662359"/>
    <w:rsid w:val="00665D1A"/>
    <w:rsid w:val="00665F1B"/>
    <w:rsid w:val="006704C3"/>
    <w:rsid w:val="00673683"/>
    <w:rsid w:val="00682B83"/>
    <w:rsid w:val="006A1004"/>
    <w:rsid w:val="006A3157"/>
    <w:rsid w:val="006A6789"/>
    <w:rsid w:val="006B0D37"/>
    <w:rsid w:val="006B489F"/>
    <w:rsid w:val="006C3030"/>
    <w:rsid w:val="006C3D45"/>
    <w:rsid w:val="006C4EAB"/>
    <w:rsid w:val="006C6B0A"/>
    <w:rsid w:val="006D071D"/>
    <w:rsid w:val="006D09AD"/>
    <w:rsid w:val="006D75C3"/>
    <w:rsid w:val="006E3794"/>
    <w:rsid w:val="006E3FCA"/>
    <w:rsid w:val="006E6BCE"/>
    <w:rsid w:val="006F56F4"/>
    <w:rsid w:val="00703663"/>
    <w:rsid w:val="00704255"/>
    <w:rsid w:val="00720EC9"/>
    <w:rsid w:val="00720F9D"/>
    <w:rsid w:val="00721646"/>
    <w:rsid w:val="0072406C"/>
    <w:rsid w:val="007257B2"/>
    <w:rsid w:val="0072798A"/>
    <w:rsid w:val="00741A23"/>
    <w:rsid w:val="00745742"/>
    <w:rsid w:val="00750FD5"/>
    <w:rsid w:val="0075336C"/>
    <w:rsid w:val="007537D4"/>
    <w:rsid w:val="0077208A"/>
    <w:rsid w:val="00772529"/>
    <w:rsid w:val="0077446A"/>
    <w:rsid w:val="007745BA"/>
    <w:rsid w:val="00775791"/>
    <w:rsid w:val="00775F18"/>
    <w:rsid w:val="007838AD"/>
    <w:rsid w:val="00783CB0"/>
    <w:rsid w:val="00787855"/>
    <w:rsid w:val="00792636"/>
    <w:rsid w:val="00793B57"/>
    <w:rsid w:val="00794F57"/>
    <w:rsid w:val="007C21EB"/>
    <w:rsid w:val="007C732A"/>
    <w:rsid w:val="007D1E18"/>
    <w:rsid w:val="007D6FE0"/>
    <w:rsid w:val="007E0C5F"/>
    <w:rsid w:val="007E2A71"/>
    <w:rsid w:val="007E3503"/>
    <w:rsid w:val="007F4190"/>
    <w:rsid w:val="008052D5"/>
    <w:rsid w:val="00813F63"/>
    <w:rsid w:val="008166B1"/>
    <w:rsid w:val="008261B0"/>
    <w:rsid w:val="00830871"/>
    <w:rsid w:val="00832B0F"/>
    <w:rsid w:val="008340E4"/>
    <w:rsid w:val="00836271"/>
    <w:rsid w:val="0085091A"/>
    <w:rsid w:val="00855ACA"/>
    <w:rsid w:val="00862AC1"/>
    <w:rsid w:val="00863918"/>
    <w:rsid w:val="00873818"/>
    <w:rsid w:val="0087438E"/>
    <w:rsid w:val="0087543A"/>
    <w:rsid w:val="00876439"/>
    <w:rsid w:val="008767AB"/>
    <w:rsid w:val="00884997"/>
    <w:rsid w:val="00884D89"/>
    <w:rsid w:val="00895C4E"/>
    <w:rsid w:val="008A373F"/>
    <w:rsid w:val="008B46D2"/>
    <w:rsid w:val="008B4AC5"/>
    <w:rsid w:val="008B5315"/>
    <w:rsid w:val="008B7DB2"/>
    <w:rsid w:val="008C44AD"/>
    <w:rsid w:val="008C543E"/>
    <w:rsid w:val="008C5AE2"/>
    <w:rsid w:val="008C5E20"/>
    <w:rsid w:val="008E3B72"/>
    <w:rsid w:val="008E6E1B"/>
    <w:rsid w:val="008F19CC"/>
    <w:rsid w:val="008F60DA"/>
    <w:rsid w:val="00904511"/>
    <w:rsid w:val="009060F2"/>
    <w:rsid w:val="009077BE"/>
    <w:rsid w:val="00907A97"/>
    <w:rsid w:val="00910871"/>
    <w:rsid w:val="00911B53"/>
    <w:rsid w:val="00912F4F"/>
    <w:rsid w:val="00921521"/>
    <w:rsid w:val="00926A5D"/>
    <w:rsid w:val="00930885"/>
    <w:rsid w:val="00931D22"/>
    <w:rsid w:val="00931DFB"/>
    <w:rsid w:val="00932C3C"/>
    <w:rsid w:val="00933734"/>
    <w:rsid w:val="00935676"/>
    <w:rsid w:val="009373DA"/>
    <w:rsid w:val="00941AE9"/>
    <w:rsid w:val="0094529E"/>
    <w:rsid w:val="009504C3"/>
    <w:rsid w:val="009507FB"/>
    <w:rsid w:val="00955FA4"/>
    <w:rsid w:val="00957895"/>
    <w:rsid w:val="00971198"/>
    <w:rsid w:val="009778F2"/>
    <w:rsid w:val="00980E04"/>
    <w:rsid w:val="009853D9"/>
    <w:rsid w:val="00986951"/>
    <w:rsid w:val="00994762"/>
    <w:rsid w:val="009A2F4F"/>
    <w:rsid w:val="009A59D0"/>
    <w:rsid w:val="009A5EB2"/>
    <w:rsid w:val="009B28C8"/>
    <w:rsid w:val="009B2EB3"/>
    <w:rsid w:val="009B6732"/>
    <w:rsid w:val="009B6CD7"/>
    <w:rsid w:val="009B716D"/>
    <w:rsid w:val="009C30EE"/>
    <w:rsid w:val="009D13B3"/>
    <w:rsid w:val="009D6663"/>
    <w:rsid w:val="009E494D"/>
    <w:rsid w:val="009E665F"/>
    <w:rsid w:val="009F2E4F"/>
    <w:rsid w:val="00A006A9"/>
    <w:rsid w:val="00A01B17"/>
    <w:rsid w:val="00A02326"/>
    <w:rsid w:val="00A0513D"/>
    <w:rsid w:val="00A11FE6"/>
    <w:rsid w:val="00A12F79"/>
    <w:rsid w:val="00A13136"/>
    <w:rsid w:val="00A141BF"/>
    <w:rsid w:val="00A1471F"/>
    <w:rsid w:val="00A237A1"/>
    <w:rsid w:val="00A3119D"/>
    <w:rsid w:val="00A36E37"/>
    <w:rsid w:val="00A37EEE"/>
    <w:rsid w:val="00A37F4F"/>
    <w:rsid w:val="00A41DE3"/>
    <w:rsid w:val="00A454E3"/>
    <w:rsid w:val="00A5158D"/>
    <w:rsid w:val="00A5293C"/>
    <w:rsid w:val="00A53657"/>
    <w:rsid w:val="00A53693"/>
    <w:rsid w:val="00A551A0"/>
    <w:rsid w:val="00A55FE8"/>
    <w:rsid w:val="00A67E6B"/>
    <w:rsid w:val="00A71E48"/>
    <w:rsid w:val="00A80DCD"/>
    <w:rsid w:val="00A8257D"/>
    <w:rsid w:val="00A83872"/>
    <w:rsid w:val="00A8495B"/>
    <w:rsid w:val="00A8642F"/>
    <w:rsid w:val="00A86B91"/>
    <w:rsid w:val="00A90334"/>
    <w:rsid w:val="00A911A6"/>
    <w:rsid w:val="00A92089"/>
    <w:rsid w:val="00A933C7"/>
    <w:rsid w:val="00A9519E"/>
    <w:rsid w:val="00A96214"/>
    <w:rsid w:val="00AA4392"/>
    <w:rsid w:val="00AA5936"/>
    <w:rsid w:val="00AA6C79"/>
    <w:rsid w:val="00AB06CF"/>
    <w:rsid w:val="00AB55D9"/>
    <w:rsid w:val="00AB6DFE"/>
    <w:rsid w:val="00AB79FA"/>
    <w:rsid w:val="00AC0BC5"/>
    <w:rsid w:val="00AC2F63"/>
    <w:rsid w:val="00AC52A5"/>
    <w:rsid w:val="00AD063B"/>
    <w:rsid w:val="00AD1F22"/>
    <w:rsid w:val="00AD6A2D"/>
    <w:rsid w:val="00AE5D98"/>
    <w:rsid w:val="00AE670F"/>
    <w:rsid w:val="00AF1AB0"/>
    <w:rsid w:val="00B0030A"/>
    <w:rsid w:val="00B017E5"/>
    <w:rsid w:val="00B019E3"/>
    <w:rsid w:val="00B01F0B"/>
    <w:rsid w:val="00B020EE"/>
    <w:rsid w:val="00B055EA"/>
    <w:rsid w:val="00B06BD5"/>
    <w:rsid w:val="00B13227"/>
    <w:rsid w:val="00B20C66"/>
    <w:rsid w:val="00B24E67"/>
    <w:rsid w:val="00B3512C"/>
    <w:rsid w:val="00B430B6"/>
    <w:rsid w:val="00B430BB"/>
    <w:rsid w:val="00B445CD"/>
    <w:rsid w:val="00B46DC4"/>
    <w:rsid w:val="00B50439"/>
    <w:rsid w:val="00B5237B"/>
    <w:rsid w:val="00B546FB"/>
    <w:rsid w:val="00B54BE7"/>
    <w:rsid w:val="00B553FD"/>
    <w:rsid w:val="00B60C66"/>
    <w:rsid w:val="00B61D22"/>
    <w:rsid w:val="00B66FC3"/>
    <w:rsid w:val="00B7406D"/>
    <w:rsid w:val="00B766CA"/>
    <w:rsid w:val="00B80C1C"/>
    <w:rsid w:val="00B81AFB"/>
    <w:rsid w:val="00B83479"/>
    <w:rsid w:val="00B865B7"/>
    <w:rsid w:val="00B86ACD"/>
    <w:rsid w:val="00B93B11"/>
    <w:rsid w:val="00B954E2"/>
    <w:rsid w:val="00B95DCA"/>
    <w:rsid w:val="00BA3A7F"/>
    <w:rsid w:val="00BD270B"/>
    <w:rsid w:val="00BD33B2"/>
    <w:rsid w:val="00BD734A"/>
    <w:rsid w:val="00BD7A63"/>
    <w:rsid w:val="00BD7D3C"/>
    <w:rsid w:val="00BD7FBD"/>
    <w:rsid w:val="00BE2D13"/>
    <w:rsid w:val="00BE6B53"/>
    <w:rsid w:val="00BF3A43"/>
    <w:rsid w:val="00BF3B81"/>
    <w:rsid w:val="00C2054B"/>
    <w:rsid w:val="00C20B13"/>
    <w:rsid w:val="00C24EBF"/>
    <w:rsid w:val="00C24FFA"/>
    <w:rsid w:val="00C272D7"/>
    <w:rsid w:val="00C32176"/>
    <w:rsid w:val="00C43BB8"/>
    <w:rsid w:val="00C475C5"/>
    <w:rsid w:val="00C502E1"/>
    <w:rsid w:val="00C52CFA"/>
    <w:rsid w:val="00C54A1F"/>
    <w:rsid w:val="00C63628"/>
    <w:rsid w:val="00C76C96"/>
    <w:rsid w:val="00C90F0C"/>
    <w:rsid w:val="00C9195D"/>
    <w:rsid w:val="00C94915"/>
    <w:rsid w:val="00C958C3"/>
    <w:rsid w:val="00CA1BD5"/>
    <w:rsid w:val="00CA252E"/>
    <w:rsid w:val="00CA396C"/>
    <w:rsid w:val="00CA5241"/>
    <w:rsid w:val="00CA7442"/>
    <w:rsid w:val="00CB2EE1"/>
    <w:rsid w:val="00CC3088"/>
    <w:rsid w:val="00CC337E"/>
    <w:rsid w:val="00CC5818"/>
    <w:rsid w:val="00CD3559"/>
    <w:rsid w:val="00CD4D18"/>
    <w:rsid w:val="00CD5529"/>
    <w:rsid w:val="00CF06D4"/>
    <w:rsid w:val="00CF5638"/>
    <w:rsid w:val="00D01000"/>
    <w:rsid w:val="00D034C1"/>
    <w:rsid w:val="00D05FEB"/>
    <w:rsid w:val="00D063FE"/>
    <w:rsid w:val="00D1323F"/>
    <w:rsid w:val="00D145E3"/>
    <w:rsid w:val="00D1688E"/>
    <w:rsid w:val="00D2043A"/>
    <w:rsid w:val="00D22CB6"/>
    <w:rsid w:val="00D23F32"/>
    <w:rsid w:val="00D24AB3"/>
    <w:rsid w:val="00D263D6"/>
    <w:rsid w:val="00D35315"/>
    <w:rsid w:val="00D37687"/>
    <w:rsid w:val="00D377EE"/>
    <w:rsid w:val="00D45324"/>
    <w:rsid w:val="00D45CB1"/>
    <w:rsid w:val="00D51E96"/>
    <w:rsid w:val="00D548FD"/>
    <w:rsid w:val="00D5630C"/>
    <w:rsid w:val="00D5685B"/>
    <w:rsid w:val="00D605CC"/>
    <w:rsid w:val="00D625D3"/>
    <w:rsid w:val="00D631CC"/>
    <w:rsid w:val="00D6366E"/>
    <w:rsid w:val="00D679B2"/>
    <w:rsid w:val="00D734CA"/>
    <w:rsid w:val="00D74E31"/>
    <w:rsid w:val="00D76A8D"/>
    <w:rsid w:val="00D82A5C"/>
    <w:rsid w:val="00D83103"/>
    <w:rsid w:val="00D866B0"/>
    <w:rsid w:val="00D91BCB"/>
    <w:rsid w:val="00D9376A"/>
    <w:rsid w:val="00D944B1"/>
    <w:rsid w:val="00DA20FE"/>
    <w:rsid w:val="00DA3AB7"/>
    <w:rsid w:val="00DA63CC"/>
    <w:rsid w:val="00DA6C0C"/>
    <w:rsid w:val="00DB2846"/>
    <w:rsid w:val="00DB4893"/>
    <w:rsid w:val="00DC1A21"/>
    <w:rsid w:val="00DC492B"/>
    <w:rsid w:val="00DC5661"/>
    <w:rsid w:val="00DC6430"/>
    <w:rsid w:val="00DC77DF"/>
    <w:rsid w:val="00DD2AEE"/>
    <w:rsid w:val="00DD3A32"/>
    <w:rsid w:val="00DD54A4"/>
    <w:rsid w:val="00DE1C89"/>
    <w:rsid w:val="00DE343D"/>
    <w:rsid w:val="00DE402D"/>
    <w:rsid w:val="00DE4230"/>
    <w:rsid w:val="00DE5423"/>
    <w:rsid w:val="00DE778C"/>
    <w:rsid w:val="00DF247A"/>
    <w:rsid w:val="00DF40F7"/>
    <w:rsid w:val="00DF5C59"/>
    <w:rsid w:val="00E124AC"/>
    <w:rsid w:val="00E14904"/>
    <w:rsid w:val="00E167F3"/>
    <w:rsid w:val="00E20EEE"/>
    <w:rsid w:val="00E225E0"/>
    <w:rsid w:val="00E26C7B"/>
    <w:rsid w:val="00E37AF2"/>
    <w:rsid w:val="00E4558D"/>
    <w:rsid w:val="00E465C1"/>
    <w:rsid w:val="00E514AA"/>
    <w:rsid w:val="00E5608F"/>
    <w:rsid w:val="00E5778B"/>
    <w:rsid w:val="00E72F42"/>
    <w:rsid w:val="00E74F09"/>
    <w:rsid w:val="00E76880"/>
    <w:rsid w:val="00E77F5A"/>
    <w:rsid w:val="00E8260C"/>
    <w:rsid w:val="00E85000"/>
    <w:rsid w:val="00E87583"/>
    <w:rsid w:val="00E92DBE"/>
    <w:rsid w:val="00E9633E"/>
    <w:rsid w:val="00E96954"/>
    <w:rsid w:val="00E96D69"/>
    <w:rsid w:val="00EA001C"/>
    <w:rsid w:val="00EA15F4"/>
    <w:rsid w:val="00EA1DB9"/>
    <w:rsid w:val="00EA4F8F"/>
    <w:rsid w:val="00EA5EF4"/>
    <w:rsid w:val="00EB1272"/>
    <w:rsid w:val="00EB5538"/>
    <w:rsid w:val="00EB773B"/>
    <w:rsid w:val="00EC2B95"/>
    <w:rsid w:val="00EC63D8"/>
    <w:rsid w:val="00ED069C"/>
    <w:rsid w:val="00ED5040"/>
    <w:rsid w:val="00EF3C18"/>
    <w:rsid w:val="00F00EB2"/>
    <w:rsid w:val="00F02658"/>
    <w:rsid w:val="00F1558C"/>
    <w:rsid w:val="00F267B1"/>
    <w:rsid w:val="00F27B05"/>
    <w:rsid w:val="00F32657"/>
    <w:rsid w:val="00F455B8"/>
    <w:rsid w:val="00F53989"/>
    <w:rsid w:val="00F55AEF"/>
    <w:rsid w:val="00F57078"/>
    <w:rsid w:val="00F60BB4"/>
    <w:rsid w:val="00F62F24"/>
    <w:rsid w:val="00F66A63"/>
    <w:rsid w:val="00F73262"/>
    <w:rsid w:val="00F74752"/>
    <w:rsid w:val="00F80D57"/>
    <w:rsid w:val="00F91421"/>
    <w:rsid w:val="00F94758"/>
    <w:rsid w:val="00F94F92"/>
    <w:rsid w:val="00FA19E4"/>
    <w:rsid w:val="00FA1EDE"/>
    <w:rsid w:val="00FA43C5"/>
    <w:rsid w:val="00FB06F0"/>
    <w:rsid w:val="00FB1373"/>
    <w:rsid w:val="00FB3181"/>
    <w:rsid w:val="00FB7DCC"/>
    <w:rsid w:val="00FC46B7"/>
    <w:rsid w:val="00FC7044"/>
    <w:rsid w:val="00FD20E4"/>
    <w:rsid w:val="00FE0CD3"/>
    <w:rsid w:val="00FE1389"/>
    <w:rsid w:val="00FE4C41"/>
    <w:rsid w:val="00FF38C8"/>
    <w:rsid w:val="00FF4D5B"/>
    <w:rsid w:val="00FF6327"/>
    <w:rsid w:val="00FF64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9B"/>
  </w:style>
  <w:style w:type="paragraph" w:styleId="Heading1">
    <w:name w:val="heading 1"/>
    <w:aliases w:val="h1,new page/chapter,Heading1-bio,Heading1slides,Roman 14 B Heading,Headline1,Heading 1 - Bid,1m"/>
    <w:basedOn w:val="Normal"/>
    <w:next w:val="Normal"/>
    <w:link w:val="Heading1Char"/>
    <w:uiPriority w:val="9"/>
    <w:qFormat/>
    <w:rsid w:val="00D1323F"/>
    <w:pPr>
      <w:keepNext/>
      <w:keepLines/>
      <w:numPr>
        <w:numId w:val="1"/>
      </w:numPr>
      <w:spacing w:before="240" w:after="0"/>
      <w:outlineLvl w:val="0"/>
    </w:pPr>
    <w:rPr>
      <w:rFonts w:asciiTheme="majorHAnsi" w:eastAsiaTheme="majorEastAsia" w:hAnsiTheme="majorHAnsi" w:cstheme="majorBidi"/>
      <w:b/>
      <w:bCs/>
      <w:color w:val="365F91" w:themeColor="accent1" w:themeShade="BF"/>
      <w:sz w:val="28"/>
      <w:szCs w:val="28"/>
      <w:u w:val="thick"/>
    </w:rPr>
  </w:style>
  <w:style w:type="paragraph" w:styleId="Heading2">
    <w:name w:val="heading 2"/>
    <w:basedOn w:val="Normal"/>
    <w:next w:val="Normal"/>
    <w:link w:val="Heading2Char"/>
    <w:uiPriority w:val="9"/>
    <w:unhideWhenUsed/>
    <w:qFormat/>
    <w:rsid w:val="004D503A"/>
    <w:pPr>
      <w:keepNext/>
      <w:keepLines/>
      <w:numPr>
        <w:ilvl w:val="1"/>
        <w:numId w:val="1"/>
      </w:numPr>
      <w:spacing w:before="12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4AB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0684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0684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0684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0684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0684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0684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068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6842"/>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aliases w:val="h1 Char,new page/chapter Char,Heading1-bio Char,Heading1slides Char,Roman 14 B Heading Char,Headline1 Char,Heading 1 - Bid Char,1m Char"/>
    <w:basedOn w:val="DefaultParagraphFont"/>
    <w:link w:val="Heading1"/>
    <w:uiPriority w:val="9"/>
    <w:rsid w:val="00D1323F"/>
    <w:rPr>
      <w:rFonts w:asciiTheme="majorHAnsi" w:eastAsiaTheme="majorEastAsia" w:hAnsiTheme="majorHAnsi" w:cstheme="majorBidi"/>
      <w:b/>
      <w:bCs/>
      <w:color w:val="365F91" w:themeColor="accent1" w:themeShade="BF"/>
      <w:sz w:val="28"/>
      <w:szCs w:val="28"/>
      <w:u w:val="thick"/>
    </w:rPr>
  </w:style>
  <w:style w:type="character" w:customStyle="1" w:styleId="Heading2Char">
    <w:name w:val="Heading 2 Char"/>
    <w:basedOn w:val="DefaultParagraphFont"/>
    <w:link w:val="Heading2"/>
    <w:uiPriority w:val="9"/>
    <w:rsid w:val="004D503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4A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0684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0684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0684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0684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0684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0684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1B01B2"/>
    <w:pPr>
      <w:numPr>
        <w:numId w:val="7"/>
      </w:numPr>
      <w:spacing w:after="120" w:line="240" w:lineRule="auto"/>
    </w:pPr>
  </w:style>
  <w:style w:type="paragraph" w:styleId="DocumentMap">
    <w:name w:val="Document Map"/>
    <w:basedOn w:val="Normal"/>
    <w:link w:val="DocumentMapChar"/>
    <w:uiPriority w:val="99"/>
    <w:semiHidden/>
    <w:unhideWhenUsed/>
    <w:rsid w:val="000C3AA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3AA1"/>
    <w:rPr>
      <w:rFonts w:ascii="Tahoma" w:hAnsi="Tahoma" w:cs="Tahoma"/>
      <w:sz w:val="16"/>
      <w:szCs w:val="16"/>
    </w:rPr>
  </w:style>
  <w:style w:type="paragraph" w:customStyle="1" w:styleId="SuperHeader">
    <w:name w:val="SuperHeader"/>
    <w:basedOn w:val="Heading1"/>
    <w:link w:val="SuperHeaderChar"/>
    <w:qFormat/>
    <w:rsid w:val="000455D6"/>
    <w:pPr>
      <w:numPr>
        <w:numId w:val="2"/>
      </w:numPr>
      <w:shd w:val="clear" w:color="auto" w:fill="DBE5F1" w:themeFill="accent1" w:themeFillTint="33"/>
      <w:ind w:left="720" w:hanging="720"/>
    </w:pPr>
    <w:rPr>
      <w:sz w:val="32"/>
      <w:u w:val="single"/>
    </w:rPr>
  </w:style>
  <w:style w:type="paragraph" w:styleId="TOCHeading">
    <w:name w:val="TOC Heading"/>
    <w:basedOn w:val="Heading1"/>
    <w:next w:val="Normal"/>
    <w:uiPriority w:val="39"/>
    <w:unhideWhenUsed/>
    <w:qFormat/>
    <w:rsid w:val="004D503A"/>
    <w:pPr>
      <w:numPr>
        <w:numId w:val="0"/>
      </w:numPr>
      <w:outlineLvl w:val="9"/>
    </w:pPr>
  </w:style>
  <w:style w:type="character" w:customStyle="1" w:styleId="SuperHeaderChar">
    <w:name w:val="SuperHeader Char"/>
    <w:basedOn w:val="Heading1Char"/>
    <w:link w:val="SuperHeader"/>
    <w:rsid w:val="000455D6"/>
    <w:rPr>
      <w:rFonts w:asciiTheme="majorHAnsi" w:eastAsiaTheme="majorEastAsia" w:hAnsiTheme="majorHAnsi" w:cstheme="majorBidi"/>
      <w:b/>
      <w:bCs/>
      <w:color w:val="365F91" w:themeColor="accent1" w:themeShade="BF"/>
      <w:sz w:val="32"/>
      <w:szCs w:val="28"/>
      <w:u w:val="single"/>
      <w:shd w:val="clear" w:color="auto" w:fill="DBE5F1" w:themeFill="accent1" w:themeFillTint="33"/>
    </w:rPr>
  </w:style>
  <w:style w:type="paragraph" w:styleId="TOC1">
    <w:name w:val="toc 1"/>
    <w:basedOn w:val="Normal"/>
    <w:next w:val="Normal"/>
    <w:autoRedefine/>
    <w:uiPriority w:val="39"/>
    <w:unhideWhenUsed/>
    <w:rsid w:val="00772529"/>
    <w:pPr>
      <w:tabs>
        <w:tab w:val="left" w:pos="440"/>
        <w:tab w:val="right" w:leader="dot" w:pos="9350"/>
      </w:tabs>
      <w:spacing w:after="0"/>
    </w:pPr>
    <w:rPr>
      <w:b/>
      <w:noProof/>
    </w:rPr>
  </w:style>
  <w:style w:type="paragraph" w:styleId="TOC2">
    <w:name w:val="toc 2"/>
    <w:basedOn w:val="Normal"/>
    <w:next w:val="Normal"/>
    <w:autoRedefine/>
    <w:uiPriority w:val="39"/>
    <w:unhideWhenUsed/>
    <w:rsid w:val="004D503A"/>
    <w:pPr>
      <w:spacing w:after="100"/>
      <w:ind w:left="220"/>
    </w:pPr>
  </w:style>
  <w:style w:type="character" w:styleId="Hyperlink">
    <w:name w:val="Hyperlink"/>
    <w:basedOn w:val="DefaultParagraphFont"/>
    <w:uiPriority w:val="99"/>
    <w:unhideWhenUsed/>
    <w:rsid w:val="004D503A"/>
    <w:rPr>
      <w:color w:val="0000FF" w:themeColor="hyperlink"/>
      <w:u w:val="single"/>
    </w:rPr>
  </w:style>
  <w:style w:type="paragraph" w:styleId="BalloonText">
    <w:name w:val="Balloon Text"/>
    <w:basedOn w:val="Normal"/>
    <w:link w:val="BalloonTextChar"/>
    <w:uiPriority w:val="99"/>
    <w:semiHidden/>
    <w:unhideWhenUsed/>
    <w:rsid w:val="004D5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03A"/>
    <w:rPr>
      <w:rFonts w:ascii="Tahoma" w:hAnsi="Tahoma" w:cs="Tahoma"/>
      <w:sz w:val="16"/>
      <w:szCs w:val="16"/>
    </w:rPr>
  </w:style>
  <w:style w:type="character" w:styleId="CommentReference">
    <w:name w:val="annotation reference"/>
    <w:basedOn w:val="DefaultParagraphFont"/>
    <w:uiPriority w:val="99"/>
    <w:unhideWhenUsed/>
    <w:rsid w:val="00BA3A7F"/>
    <w:rPr>
      <w:sz w:val="16"/>
      <w:szCs w:val="16"/>
    </w:rPr>
  </w:style>
  <w:style w:type="paragraph" w:styleId="CommentText">
    <w:name w:val="annotation text"/>
    <w:basedOn w:val="Normal"/>
    <w:link w:val="CommentTextChar"/>
    <w:uiPriority w:val="99"/>
    <w:unhideWhenUsed/>
    <w:rsid w:val="00BA3A7F"/>
    <w:pPr>
      <w:spacing w:line="240" w:lineRule="auto"/>
    </w:pPr>
    <w:rPr>
      <w:sz w:val="20"/>
      <w:szCs w:val="20"/>
    </w:rPr>
  </w:style>
  <w:style w:type="character" w:customStyle="1" w:styleId="CommentTextChar">
    <w:name w:val="Comment Text Char"/>
    <w:basedOn w:val="DefaultParagraphFont"/>
    <w:link w:val="CommentText"/>
    <w:uiPriority w:val="99"/>
    <w:rsid w:val="00BA3A7F"/>
    <w:rPr>
      <w:sz w:val="20"/>
      <w:szCs w:val="20"/>
    </w:rPr>
  </w:style>
  <w:style w:type="paragraph" w:styleId="CommentSubject">
    <w:name w:val="annotation subject"/>
    <w:basedOn w:val="CommentText"/>
    <w:next w:val="CommentText"/>
    <w:link w:val="CommentSubjectChar"/>
    <w:uiPriority w:val="99"/>
    <w:semiHidden/>
    <w:unhideWhenUsed/>
    <w:rsid w:val="00BA3A7F"/>
    <w:rPr>
      <w:b/>
      <w:bCs/>
    </w:rPr>
  </w:style>
  <w:style w:type="character" w:customStyle="1" w:styleId="CommentSubjectChar">
    <w:name w:val="Comment Subject Char"/>
    <w:basedOn w:val="CommentTextChar"/>
    <w:link w:val="CommentSubject"/>
    <w:uiPriority w:val="99"/>
    <w:semiHidden/>
    <w:rsid w:val="00BA3A7F"/>
    <w:rPr>
      <w:b/>
      <w:bCs/>
      <w:sz w:val="20"/>
      <w:szCs w:val="20"/>
    </w:rPr>
  </w:style>
  <w:style w:type="paragraph" w:styleId="NoSpacing">
    <w:name w:val="No Spacing"/>
    <w:uiPriority w:val="1"/>
    <w:qFormat/>
    <w:rsid w:val="00092727"/>
    <w:pPr>
      <w:spacing w:after="0" w:line="240" w:lineRule="auto"/>
    </w:pPr>
  </w:style>
  <w:style w:type="table" w:styleId="TableGrid">
    <w:name w:val="Table Grid"/>
    <w:basedOn w:val="TableNormal"/>
    <w:uiPriority w:val="59"/>
    <w:rsid w:val="00EA5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462F"/>
    <w:rPr>
      <w:color w:val="808080"/>
    </w:rPr>
  </w:style>
  <w:style w:type="paragraph" w:styleId="FootnoteText">
    <w:name w:val="footnote text"/>
    <w:basedOn w:val="Normal"/>
    <w:link w:val="FootnoteTextChar"/>
    <w:uiPriority w:val="99"/>
    <w:unhideWhenUsed/>
    <w:rsid w:val="00272AED"/>
    <w:pPr>
      <w:spacing w:after="0" w:line="240" w:lineRule="auto"/>
    </w:pPr>
    <w:rPr>
      <w:sz w:val="20"/>
      <w:szCs w:val="20"/>
    </w:rPr>
  </w:style>
  <w:style w:type="character" w:customStyle="1" w:styleId="FootnoteTextChar">
    <w:name w:val="Footnote Text Char"/>
    <w:basedOn w:val="DefaultParagraphFont"/>
    <w:link w:val="FootnoteText"/>
    <w:uiPriority w:val="99"/>
    <w:rsid w:val="00272AED"/>
    <w:rPr>
      <w:sz w:val="20"/>
      <w:szCs w:val="20"/>
    </w:rPr>
  </w:style>
  <w:style w:type="character" w:styleId="FootnoteReference">
    <w:name w:val="footnote reference"/>
    <w:basedOn w:val="DefaultParagraphFont"/>
    <w:uiPriority w:val="99"/>
    <w:unhideWhenUsed/>
    <w:rsid w:val="00272AED"/>
    <w:rPr>
      <w:vertAlign w:val="superscript"/>
    </w:rPr>
  </w:style>
  <w:style w:type="paragraph" w:styleId="Caption">
    <w:name w:val="caption"/>
    <w:aliases w:val="Caption_FIG"/>
    <w:basedOn w:val="Normal"/>
    <w:next w:val="Normal"/>
    <w:link w:val="CaptionChar"/>
    <w:uiPriority w:val="35"/>
    <w:unhideWhenUsed/>
    <w:qFormat/>
    <w:rsid w:val="00D05FEB"/>
    <w:pPr>
      <w:spacing w:line="240" w:lineRule="auto"/>
    </w:pPr>
    <w:rPr>
      <w:b/>
      <w:bCs/>
      <w:color w:val="4F81BD" w:themeColor="accent1"/>
      <w:sz w:val="18"/>
      <w:szCs w:val="18"/>
    </w:rPr>
  </w:style>
  <w:style w:type="table" w:styleId="MediumGrid3-Accent1">
    <w:name w:val="Medium Grid 3 Accent 1"/>
    <w:basedOn w:val="TableNormal"/>
    <w:uiPriority w:val="69"/>
    <w:rsid w:val="00A80DC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NormalWeb">
    <w:name w:val="Normal (Web)"/>
    <w:basedOn w:val="Normal"/>
    <w:uiPriority w:val="99"/>
    <w:semiHidden/>
    <w:unhideWhenUsed/>
    <w:rsid w:val="00EA001C"/>
    <w:pPr>
      <w:spacing w:before="100" w:beforeAutospacing="1" w:after="100" w:afterAutospacing="1" w:line="240" w:lineRule="auto"/>
    </w:pPr>
    <w:rPr>
      <w:rFonts w:ascii="Times New Roman" w:hAnsi="Times New Roman" w:cs="Times New Roman"/>
      <w:sz w:val="24"/>
      <w:szCs w:val="24"/>
    </w:rPr>
  </w:style>
  <w:style w:type="paragraph" w:styleId="TOC3">
    <w:name w:val="toc 3"/>
    <w:basedOn w:val="Normal"/>
    <w:next w:val="Normal"/>
    <w:autoRedefine/>
    <w:uiPriority w:val="39"/>
    <w:unhideWhenUsed/>
    <w:rsid w:val="00413099"/>
    <w:pPr>
      <w:spacing w:after="100"/>
      <w:ind w:left="440"/>
    </w:pPr>
  </w:style>
  <w:style w:type="paragraph" w:customStyle="1" w:styleId="SubHead1">
    <w:name w:val="SubHead 1"/>
    <w:basedOn w:val="Normal"/>
    <w:link w:val="SubHead1Char"/>
    <w:qFormat/>
    <w:rsid w:val="002B118C"/>
    <w:pPr>
      <w:keepNext/>
      <w:spacing w:before="240" w:after="60"/>
    </w:pPr>
    <w:rPr>
      <w:b/>
      <w:u w:val="single"/>
    </w:rPr>
  </w:style>
  <w:style w:type="paragraph" w:customStyle="1" w:styleId="SubHead2">
    <w:name w:val="SubHead 2"/>
    <w:basedOn w:val="Normal"/>
    <w:link w:val="SubHead2Char"/>
    <w:qFormat/>
    <w:rsid w:val="002B118C"/>
    <w:pPr>
      <w:keepNext/>
      <w:spacing w:after="0"/>
    </w:pPr>
    <w:rPr>
      <w:i/>
      <w:u w:val="single"/>
    </w:rPr>
  </w:style>
  <w:style w:type="character" w:customStyle="1" w:styleId="SubHead1Char">
    <w:name w:val="SubHead 1 Char"/>
    <w:basedOn w:val="DefaultParagraphFont"/>
    <w:link w:val="SubHead1"/>
    <w:rsid w:val="002B118C"/>
    <w:rPr>
      <w:b/>
      <w:u w:val="single"/>
    </w:rPr>
  </w:style>
  <w:style w:type="paragraph" w:styleId="Header">
    <w:name w:val="header"/>
    <w:basedOn w:val="Normal"/>
    <w:link w:val="HeaderChar"/>
    <w:uiPriority w:val="99"/>
    <w:unhideWhenUsed/>
    <w:rsid w:val="002A5D85"/>
    <w:pPr>
      <w:tabs>
        <w:tab w:val="center" w:pos="4680"/>
        <w:tab w:val="right" w:pos="9360"/>
      </w:tabs>
      <w:spacing w:after="0" w:line="240" w:lineRule="auto"/>
    </w:pPr>
  </w:style>
  <w:style w:type="character" w:customStyle="1" w:styleId="SubHead2Char">
    <w:name w:val="SubHead 2 Char"/>
    <w:basedOn w:val="DefaultParagraphFont"/>
    <w:link w:val="SubHead2"/>
    <w:rsid w:val="002B118C"/>
    <w:rPr>
      <w:i/>
      <w:u w:val="single"/>
    </w:rPr>
  </w:style>
  <w:style w:type="character" w:customStyle="1" w:styleId="HeaderChar">
    <w:name w:val="Header Char"/>
    <w:basedOn w:val="DefaultParagraphFont"/>
    <w:link w:val="Header"/>
    <w:uiPriority w:val="99"/>
    <w:rsid w:val="002A5D85"/>
  </w:style>
  <w:style w:type="paragraph" w:styleId="Footer">
    <w:name w:val="footer"/>
    <w:basedOn w:val="Normal"/>
    <w:link w:val="FooterChar"/>
    <w:uiPriority w:val="99"/>
    <w:unhideWhenUsed/>
    <w:rsid w:val="002A5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D85"/>
  </w:style>
  <w:style w:type="paragraph" w:customStyle="1" w:styleId="AltList">
    <w:name w:val="AltList"/>
    <w:basedOn w:val="ListParagraph"/>
    <w:link w:val="AltListChar"/>
    <w:qFormat/>
    <w:rsid w:val="00E76880"/>
    <w:pPr>
      <w:numPr>
        <w:numId w:val="15"/>
      </w:numPr>
    </w:pPr>
  </w:style>
  <w:style w:type="character" w:customStyle="1" w:styleId="ListParagraphChar">
    <w:name w:val="List Paragraph Char"/>
    <w:basedOn w:val="DefaultParagraphFont"/>
    <w:link w:val="ListParagraph"/>
    <w:uiPriority w:val="34"/>
    <w:rsid w:val="00E76880"/>
  </w:style>
  <w:style w:type="character" w:customStyle="1" w:styleId="AltListChar">
    <w:name w:val="AltList Char"/>
    <w:basedOn w:val="ListParagraphChar"/>
    <w:link w:val="AltList"/>
    <w:rsid w:val="00E76880"/>
  </w:style>
  <w:style w:type="paragraph" w:styleId="Revision">
    <w:name w:val="Revision"/>
    <w:hidden/>
    <w:uiPriority w:val="99"/>
    <w:semiHidden/>
    <w:rsid w:val="0025191A"/>
    <w:pPr>
      <w:spacing w:after="0" w:line="240" w:lineRule="auto"/>
    </w:pPr>
  </w:style>
  <w:style w:type="character" w:styleId="FollowedHyperlink">
    <w:name w:val="FollowedHyperlink"/>
    <w:basedOn w:val="DefaultParagraphFont"/>
    <w:uiPriority w:val="99"/>
    <w:semiHidden/>
    <w:unhideWhenUsed/>
    <w:rsid w:val="00884997"/>
    <w:rPr>
      <w:color w:val="800080" w:themeColor="followedHyperlink"/>
      <w:u w:val="single"/>
    </w:rPr>
  </w:style>
  <w:style w:type="character" w:customStyle="1" w:styleId="CaptionChar">
    <w:name w:val="Caption Char"/>
    <w:aliases w:val="Caption_FIG Char"/>
    <w:basedOn w:val="DefaultParagraphFont"/>
    <w:link w:val="Caption"/>
    <w:uiPriority w:val="35"/>
    <w:rsid w:val="00183085"/>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1,new page/chapter,Heading1-bio,Heading1slides,Roman 14 B Heading,Headline1,Heading 1 - Bid,1m"/>
    <w:basedOn w:val="Normal"/>
    <w:next w:val="Normal"/>
    <w:link w:val="Heading1Char"/>
    <w:uiPriority w:val="9"/>
    <w:qFormat/>
    <w:rsid w:val="00D1323F"/>
    <w:pPr>
      <w:keepNext/>
      <w:keepLines/>
      <w:numPr>
        <w:numId w:val="1"/>
      </w:numPr>
      <w:spacing w:before="240" w:after="0"/>
      <w:outlineLvl w:val="0"/>
    </w:pPr>
    <w:rPr>
      <w:rFonts w:asciiTheme="majorHAnsi" w:eastAsiaTheme="majorEastAsia" w:hAnsiTheme="majorHAnsi" w:cstheme="majorBidi"/>
      <w:b/>
      <w:bCs/>
      <w:color w:val="365F91" w:themeColor="accent1" w:themeShade="BF"/>
      <w:sz w:val="28"/>
      <w:szCs w:val="28"/>
      <w:u w:val="thick"/>
    </w:rPr>
  </w:style>
  <w:style w:type="paragraph" w:styleId="Heading2">
    <w:name w:val="heading 2"/>
    <w:basedOn w:val="Normal"/>
    <w:next w:val="Normal"/>
    <w:link w:val="Heading2Char"/>
    <w:uiPriority w:val="9"/>
    <w:unhideWhenUsed/>
    <w:qFormat/>
    <w:rsid w:val="004D503A"/>
    <w:pPr>
      <w:keepNext/>
      <w:keepLines/>
      <w:numPr>
        <w:ilvl w:val="1"/>
        <w:numId w:val="1"/>
      </w:numPr>
      <w:spacing w:before="12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4AB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0684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0684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0684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0684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0684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0684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068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6842"/>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1323F"/>
    <w:rPr>
      <w:rFonts w:asciiTheme="majorHAnsi" w:eastAsiaTheme="majorEastAsia" w:hAnsiTheme="majorHAnsi" w:cstheme="majorBidi"/>
      <w:b/>
      <w:bCs/>
      <w:color w:val="365F91" w:themeColor="accent1" w:themeShade="BF"/>
      <w:sz w:val="28"/>
      <w:szCs w:val="28"/>
      <w:u w:val="thick"/>
    </w:rPr>
  </w:style>
  <w:style w:type="character" w:customStyle="1" w:styleId="Heading2Char">
    <w:name w:val="Heading 2 Char"/>
    <w:basedOn w:val="DefaultParagraphFont"/>
    <w:link w:val="Heading2"/>
    <w:uiPriority w:val="9"/>
    <w:rsid w:val="004D503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4A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0684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0684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0684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0684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0684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0684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1B01B2"/>
    <w:pPr>
      <w:numPr>
        <w:numId w:val="7"/>
      </w:numPr>
      <w:spacing w:after="120" w:line="240" w:lineRule="auto"/>
    </w:pPr>
  </w:style>
  <w:style w:type="paragraph" w:styleId="DocumentMap">
    <w:name w:val="Document Map"/>
    <w:basedOn w:val="Normal"/>
    <w:link w:val="DocumentMapChar"/>
    <w:uiPriority w:val="99"/>
    <w:semiHidden/>
    <w:unhideWhenUsed/>
    <w:rsid w:val="000C3AA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3AA1"/>
    <w:rPr>
      <w:rFonts w:ascii="Tahoma" w:hAnsi="Tahoma" w:cs="Tahoma"/>
      <w:sz w:val="16"/>
      <w:szCs w:val="16"/>
    </w:rPr>
  </w:style>
  <w:style w:type="paragraph" w:customStyle="1" w:styleId="SuperHeader">
    <w:name w:val="SuperHeader"/>
    <w:basedOn w:val="Heading1"/>
    <w:link w:val="SuperHeaderChar"/>
    <w:qFormat/>
    <w:rsid w:val="000455D6"/>
    <w:pPr>
      <w:numPr>
        <w:numId w:val="2"/>
      </w:numPr>
      <w:shd w:val="clear" w:color="auto" w:fill="DBE5F1" w:themeFill="accent1" w:themeFillTint="33"/>
      <w:ind w:left="720" w:hanging="720"/>
    </w:pPr>
    <w:rPr>
      <w:sz w:val="32"/>
      <w:u w:val="single"/>
    </w:rPr>
  </w:style>
  <w:style w:type="paragraph" w:styleId="TOCHeading">
    <w:name w:val="TOC Heading"/>
    <w:basedOn w:val="Heading1"/>
    <w:next w:val="Normal"/>
    <w:uiPriority w:val="39"/>
    <w:unhideWhenUsed/>
    <w:qFormat/>
    <w:rsid w:val="004D503A"/>
    <w:pPr>
      <w:numPr>
        <w:numId w:val="0"/>
      </w:numPr>
      <w:outlineLvl w:val="9"/>
    </w:pPr>
  </w:style>
  <w:style w:type="character" w:customStyle="1" w:styleId="SuperHeaderChar">
    <w:name w:val="SuperHeader Char"/>
    <w:basedOn w:val="Heading1Char"/>
    <w:link w:val="SuperHeader"/>
    <w:rsid w:val="000455D6"/>
    <w:rPr>
      <w:rFonts w:asciiTheme="majorHAnsi" w:eastAsiaTheme="majorEastAsia" w:hAnsiTheme="majorHAnsi" w:cstheme="majorBidi"/>
      <w:b/>
      <w:bCs/>
      <w:color w:val="365F91" w:themeColor="accent1" w:themeShade="BF"/>
      <w:sz w:val="32"/>
      <w:szCs w:val="28"/>
      <w:u w:val="single"/>
      <w:shd w:val="clear" w:color="auto" w:fill="DBE5F1" w:themeFill="accent1" w:themeFillTint="33"/>
    </w:rPr>
  </w:style>
  <w:style w:type="paragraph" w:styleId="TOC1">
    <w:name w:val="toc 1"/>
    <w:basedOn w:val="Normal"/>
    <w:next w:val="Normal"/>
    <w:autoRedefine/>
    <w:uiPriority w:val="39"/>
    <w:unhideWhenUsed/>
    <w:rsid w:val="00772529"/>
    <w:pPr>
      <w:tabs>
        <w:tab w:val="left" w:pos="440"/>
        <w:tab w:val="right" w:leader="dot" w:pos="9350"/>
      </w:tabs>
      <w:spacing w:after="0"/>
    </w:pPr>
    <w:rPr>
      <w:b/>
      <w:noProof/>
    </w:rPr>
  </w:style>
  <w:style w:type="paragraph" w:styleId="TOC2">
    <w:name w:val="toc 2"/>
    <w:basedOn w:val="Normal"/>
    <w:next w:val="Normal"/>
    <w:autoRedefine/>
    <w:uiPriority w:val="39"/>
    <w:unhideWhenUsed/>
    <w:rsid w:val="004D503A"/>
    <w:pPr>
      <w:spacing w:after="100"/>
      <w:ind w:left="220"/>
    </w:pPr>
  </w:style>
  <w:style w:type="character" w:styleId="Hyperlink">
    <w:name w:val="Hyperlink"/>
    <w:basedOn w:val="DefaultParagraphFont"/>
    <w:uiPriority w:val="99"/>
    <w:unhideWhenUsed/>
    <w:rsid w:val="004D503A"/>
    <w:rPr>
      <w:color w:val="0000FF" w:themeColor="hyperlink"/>
      <w:u w:val="single"/>
    </w:rPr>
  </w:style>
  <w:style w:type="paragraph" w:styleId="BalloonText">
    <w:name w:val="Balloon Text"/>
    <w:basedOn w:val="Normal"/>
    <w:link w:val="BalloonTextChar"/>
    <w:uiPriority w:val="99"/>
    <w:semiHidden/>
    <w:unhideWhenUsed/>
    <w:rsid w:val="004D5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03A"/>
    <w:rPr>
      <w:rFonts w:ascii="Tahoma" w:hAnsi="Tahoma" w:cs="Tahoma"/>
      <w:sz w:val="16"/>
      <w:szCs w:val="16"/>
    </w:rPr>
  </w:style>
  <w:style w:type="character" w:styleId="CommentReference">
    <w:name w:val="annotation reference"/>
    <w:basedOn w:val="DefaultParagraphFont"/>
    <w:uiPriority w:val="99"/>
    <w:unhideWhenUsed/>
    <w:rsid w:val="00BA3A7F"/>
    <w:rPr>
      <w:sz w:val="16"/>
      <w:szCs w:val="16"/>
    </w:rPr>
  </w:style>
  <w:style w:type="paragraph" w:styleId="CommentText">
    <w:name w:val="annotation text"/>
    <w:basedOn w:val="Normal"/>
    <w:link w:val="CommentTextChar"/>
    <w:uiPriority w:val="99"/>
    <w:unhideWhenUsed/>
    <w:rsid w:val="00BA3A7F"/>
    <w:pPr>
      <w:spacing w:line="240" w:lineRule="auto"/>
    </w:pPr>
    <w:rPr>
      <w:sz w:val="20"/>
      <w:szCs w:val="20"/>
    </w:rPr>
  </w:style>
  <w:style w:type="character" w:customStyle="1" w:styleId="CommentTextChar">
    <w:name w:val="Comment Text Char"/>
    <w:basedOn w:val="DefaultParagraphFont"/>
    <w:link w:val="CommentText"/>
    <w:uiPriority w:val="99"/>
    <w:rsid w:val="00BA3A7F"/>
    <w:rPr>
      <w:sz w:val="20"/>
      <w:szCs w:val="20"/>
    </w:rPr>
  </w:style>
  <w:style w:type="paragraph" w:styleId="CommentSubject">
    <w:name w:val="annotation subject"/>
    <w:basedOn w:val="CommentText"/>
    <w:next w:val="CommentText"/>
    <w:link w:val="CommentSubjectChar"/>
    <w:uiPriority w:val="99"/>
    <w:semiHidden/>
    <w:unhideWhenUsed/>
    <w:rsid w:val="00BA3A7F"/>
    <w:rPr>
      <w:b/>
      <w:bCs/>
    </w:rPr>
  </w:style>
  <w:style w:type="character" w:customStyle="1" w:styleId="CommentSubjectChar">
    <w:name w:val="Comment Subject Char"/>
    <w:basedOn w:val="CommentTextChar"/>
    <w:link w:val="CommentSubject"/>
    <w:uiPriority w:val="99"/>
    <w:semiHidden/>
    <w:rsid w:val="00BA3A7F"/>
    <w:rPr>
      <w:b/>
      <w:bCs/>
      <w:sz w:val="20"/>
      <w:szCs w:val="20"/>
    </w:rPr>
  </w:style>
  <w:style w:type="paragraph" w:styleId="NoSpacing">
    <w:name w:val="No Spacing"/>
    <w:uiPriority w:val="1"/>
    <w:qFormat/>
    <w:rsid w:val="00092727"/>
    <w:pPr>
      <w:spacing w:after="0" w:line="240" w:lineRule="auto"/>
    </w:pPr>
  </w:style>
  <w:style w:type="table" w:styleId="TableGrid">
    <w:name w:val="Table Grid"/>
    <w:basedOn w:val="TableNormal"/>
    <w:uiPriority w:val="59"/>
    <w:rsid w:val="00EA5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462F"/>
    <w:rPr>
      <w:color w:val="808080"/>
    </w:rPr>
  </w:style>
  <w:style w:type="paragraph" w:styleId="FootnoteText">
    <w:name w:val="footnote text"/>
    <w:basedOn w:val="Normal"/>
    <w:link w:val="FootnoteTextChar"/>
    <w:uiPriority w:val="99"/>
    <w:unhideWhenUsed/>
    <w:rsid w:val="00272AED"/>
    <w:pPr>
      <w:spacing w:after="0" w:line="240" w:lineRule="auto"/>
    </w:pPr>
    <w:rPr>
      <w:sz w:val="20"/>
      <w:szCs w:val="20"/>
    </w:rPr>
  </w:style>
  <w:style w:type="character" w:customStyle="1" w:styleId="FootnoteTextChar">
    <w:name w:val="Footnote Text Char"/>
    <w:basedOn w:val="DefaultParagraphFont"/>
    <w:link w:val="FootnoteText"/>
    <w:uiPriority w:val="99"/>
    <w:rsid w:val="00272AED"/>
    <w:rPr>
      <w:sz w:val="20"/>
      <w:szCs w:val="20"/>
    </w:rPr>
  </w:style>
  <w:style w:type="character" w:styleId="FootnoteReference">
    <w:name w:val="footnote reference"/>
    <w:basedOn w:val="DefaultParagraphFont"/>
    <w:uiPriority w:val="99"/>
    <w:unhideWhenUsed/>
    <w:rsid w:val="00272AED"/>
    <w:rPr>
      <w:vertAlign w:val="superscript"/>
    </w:rPr>
  </w:style>
  <w:style w:type="paragraph" w:styleId="Caption">
    <w:name w:val="caption"/>
    <w:aliases w:val="Caption_FIG"/>
    <w:basedOn w:val="Normal"/>
    <w:next w:val="Normal"/>
    <w:link w:val="CaptionChar"/>
    <w:uiPriority w:val="35"/>
    <w:unhideWhenUsed/>
    <w:qFormat/>
    <w:rsid w:val="00D05FEB"/>
    <w:pPr>
      <w:spacing w:line="240" w:lineRule="auto"/>
    </w:pPr>
    <w:rPr>
      <w:b/>
      <w:bCs/>
      <w:color w:val="4F81BD" w:themeColor="accent1"/>
      <w:sz w:val="18"/>
      <w:szCs w:val="18"/>
    </w:rPr>
  </w:style>
  <w:style w:type="table" w:styleId="MediumGrid3-Accent1">
    <w:name w:val="Medium Grid 3 Accent 1"/>
    <w:basedOn w:val="TableNormal"/>
    <w:uiPriority w:val="69"/>
    <w:rsid w:val="00A80DC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NormalWeb">
    <w:name w:val="Normal (Web)"/>
    <w:basedOn w:val="Normal"/>
    <w:uiPriority w:val="99"/>
    <w:semiHidden/>
    <w:unhideWhenUsed/>
    <w:rsid w:val="00EA001C"/>
    <w:pPr>
      <w:spacing w:before="100" w:beforeAutospacing="1" w:after="100" w:afterAutospacing="1" w:line="240" w:lineRule="auto"/>
    </w:pPr>
    <w:rPr>
      <w:rFonts w:ascii="Times New Roman" w:hAnsi="Times New Roman" w:cs="Times New Roman"/>
      <w:sz w:val="24"/>
      <w:szCs w:val="24"/>
    </w:rPr>
  </w:style>
  <w:style w:type="paragraph" w:styleId="TOC3">
    <w:name w:val="toc 3"/>
    <w:basedOn w:val="Normal"/>
    <w:next w:val="Normal"/>
    <w:autoRedefine/>
    <w:uiPriority w:val="39"/>
    <w:unhideWhenUsed/>
    <w:rsid w:val="00413099"/>
    <w:pPr>
      <w:spacing w:after="100"/>
      <w:ind w:left="440"/>
    </w:pPr>
  </w:style>
  <w:style w:type="paragraph" w:customStyle="1" w:styleId="SubHead1">
    <w:name w:val="SubHead 1"/>
    <w:basedOn w:val="Normal"/>
    <w:link w:val="SubHead1Char"/>
    <w:qFormat/>
    <w:rsid w:val="002B118C"/>
    <w:pPr>
      <w:keepNext/>
      <w:spacing w:before="240" w:after="60"/>
    </w:pPr>
    <w:rPr>
      <w:b/>
      <w:u w:val="single"/>
    </w:rPr>
  </w:style>
  <w:style w:type="paragraph" w:customStyle="1" w:styleId="SubHead2">
    <w:name w:val="SubHead 2"/>
    <w:basedOn w:val="Normal"/>
    <w:link w:val="SubHead2Char"/>
    <w:qFormat/>
    <w:rsid w:val="002B118C"/>
    <w:pPr>
      <w:keepNext/>
      <w:spacing w:after="0"/>
    </w:pPr>
    <w:rPr>
      <w:i/>
      <w:u w:val="single"/>
    </w:rPr>
  </w:style>
  <w:style w:type="character" w:customStyle="1" w:styleId="SubHead1Char">
    <w:name w:val="SubHead 1 Char"/>
    <w:basedOn w:val="DefaultParagraphFont"/>
    <w:link w:val="SubHead1"/>
    <w:rsid w:val="002B118C"/>
    <w:rPr>
      <w:b/>
      <w:u w:val="single"/>
    </w:rPr>
  </w:style>
  <w:style w:type="paragraph" w:styleId="Header">
    <w:name w:val="header"/>
    <w:basedOn w:val="Normal"/>
    <w:link w:val="HeaderChar"/>
    <w:uiPriority w:val="99"/>
    <w:unhideWhenUsed/>
    <w:rsid w:val="002A5D85"/>
    <w:pPr>
      <w:tabs>
        <w:tab w:val="center" w:pos="4680"/>
        <w:tab w:val="right" w:pos="9360"/>
      </w:tabs>
      <w:spacing w:after="0" w:line="240" w:lineRule="auto"/>
    </w:pPr>
  </w:style>
  <w:style w:type="character" w:customStyle="1" w:styleId="SubHead2Char">
    <w:name w:val="SubHead 2 Char"/>
    <w:basedOn w:val="DefaultParagraphFont"/>
    <w:link w:val="SubHead2"/>
    <w:rsid w:val="002B118C"/>
    <w:rPr>
      <w:i/>
      <w:u w:val="single"/>
    </w:rPr>
  </w:style>
  <w:style w:type="character" w:customStyle="1" w:styleId="HeaderChar">
    <w:name w:val="Header Char"/>
    <w:basedOn w:val="DefaultParagraphFont"/>
    <w:link w:val="Header"/>
    <w:uiPriority w:val="99"/>
    <w:rsid w:val="002A5D85"/>
  </w:style>
  <w:style w:type="paragraph" w:styleId="Footer">
    <w:name w:val="footer"/>
    <w:basedOn w:val="Normal"/>
    <w:link w:val="FooterChar"/>
    <w:uiPriority w:val="99"/>
    <w:unhideWhenUsed/>
    <w:rsid w:val="002A5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D85"/>
  </w:style>
  <w:style w:type="paragraph" w:customStyle="1" w:styleId="AltList">
    <w:name w:val="AltList"/>
    <w:basedOn w:val="ListParagraph"/>
    <w:link w:val="AltListChar"/>
    <w:qFormat/>
    <w:rsid w:val="00E76880"/>
    <w:pPr>
      <w:numPr>
        <w:numId w:val="15"/>
      </w:numPr>
    </w:pPr>
  </w:style>
  <w:style w:type="character" w:customStyle="1" w:styleId="ListParagraphChar">
    <w:name w:val="List Paragraph Char"/>
    <w:basedOn w:val="DefaultParagraphFont"/>
    <w:link w:val="ListParagraph"/>
    <w:uiPriority w:val="34"/>
    <w:rsid w:val="00E76880"/>
  </w:style>
  <w:style w:type="character" w:customStyle="1" w:styleId="AltListChar">
    <w:name w:val="AltList Char"/>
    <w:basedOn w:val="ListParagraphChar"/>
    <w:link w:val="AltList"/>
    <w:rsid w:val="00E76880"/>
  </w:style>
  <w:style w:type="paragraph" w:styleId="Revision">
    <w:name w:val="Revision"/>
    <w:hidden/>
    <w:uiPriority w:val="99"/>
    <w:semiHidden/>
    <w:rsid w:val="0025191A"/>
    <w:pPr>
      <w:spacing w:after="0" w:line="240" w:lineRule="auto"/>
    </w:pPr>
  </w:style>
  <w:style w:type="character" w:styleId="FollowedHyperlink">
    <w:name w:val="FollowedHyperlink"/>
    <w:basedOn w:val="DefaultParagraphFont"/>
    <w:uiPriority w:val="99"/>
    <w:semiHidden/>
    <w:unhideWhenUsed/>
    <w:rsid w:val="00884997"/>
    <w:rPr>
      <w:color w:val="800080" w:themeColor="followedHyperlink"/>
      <w:u w:val="single"/>
    </w:rPr>
  </w:style>
  <w:style w:type="character" w:customStyle="1" w:styleId="CaptionChar">
    <w:name w:val="Caption Char"/>
    <w:aliases w:val="Caption_FIG Char"/>
    <w:basedOn w:val="DefaultParagraphFont"/>
    <w:link w:val="Caption"/>
    <w:uiPriority w:val="35"/>
    <w:rsid w:val="00183085"/>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70155">
      <w:bodyDiv w:val="1"/>
      <w:marLeft w:val="0"/>
      <w:marRight w:val="0"/>
      <w:marTop w:val="0"/>
      <w:marBottom w:val="0"/>
      <w:divBdr>
        <w:top w:val="none" w:sz="0" w:space="0" w:color="auto"/>
        <w:left w:val="none" w:sz="0" w:space="0" w:color="auto"/>
        <w:bottom w:val="none" w:sz="0" w:space="0" w:color="auto"/>
        <w:right w:val="none" w:sz="0" w:space="0" w:color="auto"/>
      </w:divBdr>
      <w:divsChild>
        <w:div w:id="655845597">
          <w:marLeft w:val="274"/>
          <w:marRight w:val="0"/>
          <w:marTop w:val="0"/>
          <w:marBottom w:val="0"/>
          <w:divBdr>
            <w:top w:val="none" w:sz="0" w:space="0" w:color="auto"/>
            <w:left w:val="none" w:sz="0" w:space="0" w:color="auto"/>
            <w:bottom w:val="none" w:sz="0" w:space="0" w:color="auto"/>
            <w:right w:val="none" w:sz="0" w:space="0" w:color="auto"/>
          </w:divBdr>
        </w:div>
        <w:div w:id="2030063101">
          <w:marLeft w:val="274"/>
          <w:marRight w:val="0"/>
          <w:marTop w:val="0"/>
          <w:marBottom w:val="0"/>
          <w:divBdr>
            <w:top w:val="none" w:sz="0" w:space="0" w:color="auto"/>
            <w:left w:val="none" w:sz="0" w:space="0" w:color="auto"/>
            <w:bottom w:val="none" w:sz="0" w:space="0" w:color="auto"/>
            <w:right w:val="none" w:sz="0" w:space="0" w:color="auto"/>
          </w:divBdr>
        </w:div>
      </w:divsChild>
    </w:div>
    <w:div w:id="450053125">
      <w:bodyDiv w:val="1"/>
      <w:marLeft w:val="0"/>
      <w:marRight w:val="0"/>
      <w:marTop w:val="0"/>
      <w:marBottom w:val="0"/>
      <w:divBdr>
        <w:top w:val="none" w:sz="0" w:space="0" w:color="auto"/>
        <w:left w:val="none" w:sz="0" w:space="0" w:color="auto"/>
        <w:bottom w:val="none" w:sz="0" w:space="0" w:color="auto"/>
        <w:right w:val="none" w:sz="0" w:space="0" w:color="auto"/>
      </w:divBdr>
    </w:div>
    <w:div w:id="773983100">
      <w:bodyDiv w:val="1"/>
      <w:marLeft w:val="0"/>
      <w:marRight w:val="0"/>
      <w:marTop w:val="0"/>
      <w:marBottom w:val="0"/>
      <w:divBdr>
        <w:top w:val="none" w:sz="0" w:space="0" w:color="auto"/>
        <w:left w:val="none" w:sz="0" w:space="0" w:color="auto"/>
        <w:bottom w:val="none" w:sz="0" w:space="0" w:color="auto"/>
        <w:right w:val="none" w:sz="0" w:space="0" w:color="auto"/>
      </w:divBdr>
    </w:div>
    <w:div w:id="849566392">
      <w:bodyDiv w:val="1"/>
      <w:marLeft w:val="0"/>
      <w:marRight w:val="0"/>
      <w:marTop w:val="0"/>
      <w:marBottom w:val="0"/>
      <w:divBdr>
        <w:top w:val="none" w:sz="0" w:space="0" w:color="auto"/>
        <w:left w:val="none" w:sz="0" w:space="0" w:color="auto"/>
        <w:bottom w:val="none" w:sz="0" w:space="0" w:color="auto"/>
        <w:right w:val="none" w:sz="0" w:space="0" w:color="auto"/>
      </w:divBdr>
    </w:div>
    <w:div w:id="1231454200">
      <w:bodyDiv w:val="1"/>
      <w:marLeft w:val="0"/>
      <w:marRight w:val="0"/>
      <w:marTop w:val="0"/>
      <w:marBottom w:val="0"/>
      <w:divBdr>
        <w:top w:val="none" w:sz="0" w:space="0" w:color="auto"/>
        <w:left w:val="none" w:sz="0" w:space="0" w:color="auto"/>
        <w:bottom w:val="none" w:sz="0" w:space="0" w:color="auto"/>
        <w:right w:val="none" w:sz="0" w:space="0" w:color="auto"/>
      </w:divBdr>
    </w:div>
    <w:div w:id="1472601326">
      <w:bodyDiv w:val="1"/>
      <w:marLeft w:val="0"/>
      <w:marRight w:val="0"/>
      <w:marTop w:val="0"/>
      <w:marBottom w:val="0"/>
      <w:divBdr>
        <w:top w:val="none" w:sz="0" w:space="0" w:color="auto"/>
        <w:left w:val="none" w:sz="0" w:space="0" w:color="auto"/>
        <w:bottom w:val="none" w:sz="0" w:space="0" w:color="auto"/>
        <w:right w:val="none" w:sz="0" w:space="0" w:color="auto"/>
      </w:divBdr>
      <w:divsChild>
        <w:div w:id="1029645071">
          <w:marLeft w:val="547"/>
          <w:marRight w:val="0"/>
          <w:marTop w:val="154"/>
          <w:marBottom w:val="0"/>
          <w:divBdr>
            <w:top w:val="none" w:sz="0" w:space="0" w:color="auto"/>
            <w:left w:val="none" w:sz="0" w:space="0" w:color="auto"/>
            <w:bottom w:val="none" w:sz="0" w:space="0" w:color="auto"/>
            <w:right w:val="none" w:sz="0" w:space="0" w:color="auto"/>
          </w:divBdr>
        </w:div>
        <w:div w:id="162745261">
          <w:marLeft w:val="547"/>
          <w:marRight w:val="0"/>
          <w:marTop w:val="154"/>
          <w:marBottom w:val="0"/>
          <w:divBdr>
            <w:top w:val="none" w:sz="0" w:space="0" w:color="auto"/>
            <w:left w:val="none" w:sz="0" w:space="0" w:color="auto"/>
            <w:bottom w:val="none" w:sz="0" w:space="0" w:color="auto"/>
            <w:right w:val="none" w:sz="0" w:space="0" w:color="auto"/>
          </w:divBdr>
        </w:div>
        <w:div w:id="18552547">
          <w:marLeft w:val="547"/>
          <w:marRight w:val="0"/>
          <w:marTop w:val="154"/>
          <w:marBottom w:val="0"/>
          <w:divBdr>
            <w:top w:val="none" w:sz="0" w:space="0" w:color="auto"/>
            <w:left w:val="none" w:sz="0" w:space="0" w:color="auto"/>
            <w:bottom w:val="none" w:sz="0" w:space="0" w:color="auto"/>
            <w:right w:val="none" w:sz="0" w:space="0" w:color="auto"/>
          </w:divBdr>
        </w:div>
        <w:div w:id="1196844525">
          <w:marLeft w:val="547"/>
          <w:marRight w:val="0"/>
          <w:marTop w:val="154"/>
          <w:marBottom w:val="0"/>
          <w:divBdr>
            <w:top w:val="none" w:sz="0" w:space="0" w:color="auto"/>
            <w:left w:val="none" w:sz="0" w:space="0" w:color="auto"/>
            <w:bottom w:val="none" w:sz="0" w:space="0" w:color="auto"/>
            <w:right w:val="none" w:sz="0" w:space="0" w:color="auto"/>
          </w:divBdr>
        </w:div>
      </w:divsChild>
    </w:div>
    <w:div w:id="1524712118">
      <w:bodyDiv w:val="1"/>
      <w:marLeft w:val="0"/>
      <w:marRight w:val="0"/>
      <w:marTop w:val="0"/>
      <w:marBottom w:val="0"/>
      <w:divBdr>
        <w:top w:val="none" w:sz="0" w:space="0" w:color="auto"/>
        <w:left w:val="none" w:sz="0" w:space="0" w:color="auto"/>
        <w:bottom w:val="none" w:sz="0" w:space="0" w:color="auto"/>
        <w:right w:val="none" w:sz="0" w:space="0" w:color="auto"/>
      </w:divBdr>
    </w:div>
    <w:div w:id="1611473103">
      <w:bodyDiv w:val="1"/>
      <w:marLeft w:val="0"/>
      <w:marRight w:val="0"/>
      <w:marTop w:val="0"/>
      <w:marBottom w:val="0"/>
      <w:divBdr>
        <w:top w:val="none" w:sz="0" w:space="0" w:color="auto"/>
        <w:left w:val="none" w:sz="0" w:space="0" w:color="auto"/>
        <w:bottom w:val="none" w:sz="0" w:space="0" w:color="auto"/>
        <w:right w:val="none" w:sz="0" w:space="0" w:color="auto"/>
      </w:divBdr>
    </w:div>
    <w:div w:id="1766875133">
      <w:bodyDiv w:val="1"/>
      <w:marLeft w:val="0"/>
      <w:marRight w:val="0"/>
      <w:marTop w:val="0"/>
      <w:marBottom w:val="0"/>
      <w:divBdr>
        <w:top w:val="none" w:sz="0" w:space="0" w:color="auto"/>
        <w:left w:val="none" w:sz="0" w:space="0" w:color="auto"/>
        <w:bottom w:val="none" w:sz="0" w:space="0" w:color="auto"/>
        <w:right w:val="none" w:sz="0" w:space="0" w:color="auto"/>
      </w:divBdr>
      <w:divsChild>
        <w:div w:id="99301082">
          <w:marLeft w:val="274"/>
          <w:marRight w:val="0"/>
          <w:marTop w:val="0"/>
          <w:marBottom w:val="0"/>
          <w:divBdr>
            <w:top w:val="none" w:sz="0" w:space="0" w:color="auto"/>
            <w:left w:val="none" w:sz="0" w:space="0" w:color="auto"/>
            <w:bottom w:val="none" w:sz="0" w:space="0" w:color="auto"/>
            <w:right w:val="none" w:sz="0" w:space="0" w:color="auto"/>
          </w:divBdr>
        </w:div>
        <w:div w:id="1266041584">
          <w:marLeft w:val="274"/>
          <w:marRight w:val="0"/>
          <w:marTop w:val="0"/>
          <w:marBottom w:val="0"/>
          <w:divBdr>
            <w:top w:val="none" w:sz="0" w:space="0" w:color="auto"/>
            <w:left w:val="none" w:sz="0" w:space="0" w:color="auto"/>
            <w:bottom w:val="none" w:sz="0" w:space="0" w:color="auto"/>
            <w:right w:val="none" w:sz="0" w:space="0" w:color="auto"/>
          </w:divBdr>
        </w:div>
      </w:divsChild>
    </w:div>
    <w:div w:id="1834641356">
      <w:bodyDiv w:val="1"/>
      <w:marLeft w:val="0"/>
      <w:marRight w:val="0"/>
      <w:marTop w:val="0"/>
      <w:marBottom w:val="0"/>
      <w:divBdr>
        <w:top w:val="none" w:sz="0" w:space="0" w:color="auto"/>
        <w:left w:val="none" w:sz="0" w:space="0" w:color="auto"/>
        <w:bottom w:val="none" w:sz="0" w:space="0" w:color="auto"/>
        <w:right w:val="none" w:sz="0" w:space="0" w:color="auto"/>
      </w:divBdr>
    </w:div>
    <w:div w:id="2077849153">
      <w:bodyDiv w:val="1"/>
      <w:marLeft w:val="0"/>
      <w:marRight w:val="0"/>
      <w:marTop w:val="0"/>
      <w:marBottom w:val="0"/>
      <w:divBdr>
        <w:top w:val="none" w:sz="0" w:space="0" w:color="auto"/>
        <w:left w:val="none" w:sz="0" w:space="0" w:color="auto"/>
        <w:bottom w:val="none" w:sz="0" w:space="0" w:color="auto"/>
        <w:right w:val="none" w:sz="0" w:space="0" w:color="auto"/>
      </w:divBdr>
    </w:div>
    <w:div w:id="209408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for.gov.bc.ca/hfp/frep/" TargetMode="External"/><Relationship Id="rId26" Type="http://schemas.openxmlformats.org/officeDocument/2006/relationships/image" Target="media/image9.png"/><Relationship Id="rId39" Type="http://schemas.openxmlformats.org/officeDocument/2006/relationships/image" Target="media/image22.emf"/><Relationship Id="rId3" Type="http://schemas.openxmlformats.org/officeDocument/2006/relationships/styles" Target="styles.xml"/><Relationship Id="rId21" Type="http://schemas.openxmlformats.org/officeDocument/2006/relationships/hyperlink" Target="http://archive.epa.gov/emap/archive-emap/web/html/index.html" TargetMode="External"/><Relationship Id="rId34" Type="http://schemas.openxmlformats.org/officeDocument/2006/relationships/image" Target="media/image17.e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for.gov.bc.ca/hfp/frep/publications/index.htm" TargetMode="External"/><Relationship Id="rId25" Type="http://schemas.openxmlformats.org/officeDocument/2006/relationships/footer" Target="footer1.xml"/><Relationship Id="rId33" Type="http://schemas.openxmlformats.org/officeDocument/2006/relationships/image" Target="media/image16.emf"/><Relationship Id="rId38" Type="http://schemas.openxmlformats.org/officeDocument/2006/relationships/image" Target="media/image21.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monitoringmatters.org/articles/Newman.pdf" TargetMode="External"/><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32" Type="http://schemas.openxmlformats.org/officeDocument/2006/relationships/image" Target="media/image15.png"/><Relationship Id="rId37" Type="http://schemas.openxmlformats.org/officeDocument/2006/relationships/image" Target="media/image20.emf"/><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yperlink" Target="http://www.fs.fed.us/rm/boise/AWAE/projects/ClimateShield.html" TargetMode="External"/><Relationship Id="rId28" Type="http://schemas.openxmlformats.org/officeDocument/2006/relationships/image" Target="media/image11.png"/><Relationship Id="rId36" Type="http://schemas.openxmlformats.org/officeDocument/2006/relationships/image" Target="media/image19.emf"/><Relationship Id="rId10" Type="http://schemas.openxmlformats.org/officeDocument/2006/relationships/image" Target="media/image2.png"/><Relationship Id="rId19" Type="http://schemas.openxmlformats.org/officeDocument/2006/relationships/hyperlink" Target="http://www.trrp.net/" TargetMode="External"/><Relationship Id="rId31" Type="http://schemas.openxmlformats.org/officeDocument/2006/relationships/image" Target="media/image1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hyperlink" Target="http://www.fs.fed.us/rm/boise/AWAE/projects/NorWeST.html"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emf"/></Relationships>
</file>

<file path=word/_rels/footnotes.xml.rels><?xml version="1.0" encoding="UTF-8" standalone="yes"?>
<Relationships xmlns="http://schemas.openxmlformats.org/package/2006/relationships"><Relationship Id="rId3" Type="http://schemas.openxmlformats.org/officeDocument/2006/relationships/hyperlink" Target="https://www.for.gov.bc.ca/hfp/frep/publications/mrva.htm" TargetMode="External"/><Relationship Id="rId2" Type="http://schemas.openxmlformats.org/officeDocument/2006/relationships/hyperlink" Target="https://www.for.gov.bc.ca/hfp/frep/publications/reports.htm" TargetMode="External"/><Relationship Id="rId1" Type="http://schemas.openxmlformats.org/officeDocument/2006/relationships/hyperlink" Target="https://www.for.gov.bc.ca/hfp/fr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281B6-B617-4BD8-86F8-1B11A4D6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13713</Words>
  <Characters>78166</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91696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Hall</dc:creator>
  <cp:lastModifiedBy>Alex Hall</cp:lastModifiedBy>
  <cp:revision>3</cp:revision>
  <cp:lastPrinted>2016-02-01T20:17:00Z</cp:lastPrinted>
  <dcterms:created xsi:type="dcterms:W3CDTF">2016-02-22T23:42:00Z</dcterms:created>
  <dcterms:modified xsi:type="dcterms:W3CDTF">2016-02-23T02:55:00Z</dcterms:modified>
</cp:coreProperties>
</file>